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5.vsd" ContentType="application/vnd.visio"/>
  <Override PartName="/word/embeddings/Microsoft_Visio_2003-2010___6.vsd" ContentType="application/vnd.visio"/>
  <Override PartName="/word/embeddings/Microsoft_Visio_2003-2010___7.vsd" ContentType="application/vnd.visio"/>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864C5">
      <w:pPr>
        <w:jc w:val="center"/>
        <w:rPr>
          <w:b/>
          <w:sz w:val="52"/>
        </w:rPr>
      </w:pPr>
      <w:r>
        <w:rPr>
          <w:rFonts w:hint="eastAsia"/>
          <w:b/>
          <w:sz w:val="52"/>
        </w:rPr>
        <w:t>中华人民共和国国家计量检定规程</w:t>
      </w:r>
    </w:p>
    <w:p w14:paraId="7A0EBF9E">
      <w:pPr>
        <w:jc w:val="center"/>
        <w:rPr>
          <w:rFonts w:ascii="黑体" w:eastAsia="黑体"/>
          <w:sz w:val="28"/>
          <w:szCs w:val="28"/>
        </w:rPr>
      </w:pPr>
      <w:r>
        <w:rPr>
          <w:b/>
          <w:sz w:val="28"/>
        </w:rPr>
        <w:t xml:space="preserve">                            </w:t>
      </w:r>
      <w:r>
        <w:rPr>
          <w:rFonts w:hint="eastAsia" w:ascii="黑体" w:eastAsia="黑体"/>
          <w:sz w:val="28"/>
          <w:szCs w:val="28"/>
        </w:rPr>
        <w:t>JJG 842</w:t>
      </w:r>
      <w:r>
        <w:rPr>
          <w:rFonts w:hint="eastAsia" w:ascii="黑体" w:eastAsia="黑体"/>
          <w:sz w:val="28"/>
          <w:szCs w:val="28"/>
        </w:rPr>
        <w:sym w:font="Symbol" w:char="F0BE"/>
      </w:r>
      <w:r>
        <w:rPr>
          <w:rFonts w:hint="eastAsia" w:ascii="黑体" w:eastAsia="黑体"/>
          <w:sz w:val="28"/>
          <w:szCs w:val="28"/>
        </w:rPr>
        <w:t>20XX</w:t>
      </w:r>
    </w:p>
    <w:p w14:paraId="22D9F960">
      <w:pPr>
        <w:jc w:val="center"/>
        <w:rPr>
          <w:b/>
        </w:rPr>
      </w:pPr>
      <w:r>
        <w:rPr>
          <w:b/>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5400040" cy="0"/>
                <wp:effectExtent l="17145" t="10795" r="12065" b="8255"/>
                <wp:wrapNone/>
                <wp:docPr id="438735797" name="Line 71"/>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15875">
                          <a:solidFill>
                            <a:srgbClr val="000000"/>
                          </a:solidFill>
                          <a:round/>
                        </a:ln>
                      </wps:spPr>
                      <wps:bodyPr/>
                    </wps:wsp>
                  </a:graphicData>
                </a:graphic>
              </wp:anchor>
            </w:drawing>
          </mc:Choice>
          <mc:Fallback>
            <w:pict>
              <v:line id="Line 71" o:spid="_x0000_s1026" o:spt="20" style="position:absolute;left:0pt;margin-top:0pt;height:0pt;width:425.2pt;mso-position-horizontal:center;z-index:251659264;mso-width-relative:page;mso-height-relative:page;" filled="f" stroked="t" coordsize="21600,21600" o:gfxdata="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&#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4smd/TAAAAAgEAAA8AAAAAAAAAAQAgAAAAIgAAAGRy&#10;cy9kb3ducmV2LnhtbFBLAQIUABQAAAAIAIdO4kD82+eJ0QEAAKkDAAAOAAAAAAAAAAEAIAAAACIB&#10;AABkcnMvZTJvRG9jLnhtbFBLBQYAAAAABgAGAFkBAABlBQAAAAA=&#10;">
                <v:fill on="f" focussize="0,0"/>
                <v:stroke weight="1.25pt" color="#000000" joinstyle="round"/>
                <v:imagedata o:title=""/>
                <o:lock v:ext="edit" aspectratio="f"/>
              </v:line>
            </w:pict>
          </mc:Fallback>
        </mc:AlternateContent>
      </w:r>
    </w:p>
    <w:p w14:paraId="1F409DC9">
      <w:pPr>
        <w:jc w:val="center"/>
        <w:rPr>
          <w:b/>
        </w:rPr>
      </w:pPr>
    </w:p>
    <w:p w14:paraId="0CF1ED8E">
      <w:pPr>
        <w:jc w:val="center"/>
        <w:rPr>
          <w:b/>
        </w:rPr>
      </w:pPr>
    </w:p>
    <w:p w14:paraId="383329A4">
      <w:pPr>
        <w:jc w:val="center"/>
        <w:rPr>
          <w:b/>
        </w:rPr>
      </w:pPr>
    </w:p>
    <w:p w14:paraId="1DD1563E">
      <w:pPr>
        <w:jc w:val="center"/>
        <w:rPr>
          <w:b/>
        </w:rPr>
      </w:pPr>
    </w:p>
    <w:p w14:paraId="02E63DF4">
      <w:pPr>
        <w:jc w:val="center"/>
        <w:rPr>
          <w:b/>
        </w:rPr>
      </w:pPr>
    </w:p>
    <w:p w14:paraId="55E35A4F">
      <w:pPr>
        <w:spacing w:line="480" w:lineRule="auto"/>
        <w:jc w:val="center"/>
        <w:rPr>
          <w:rFonts w:hint="eastAsia" w:eastAsia="黑体"/>
          <w:sz w:val="52"/>
          <w:lang w:val="en-US" w:eastAsia="zh-CN"/>
        </w:rPr>
      </w:pPr>
      <w:bookmarkStart w:id="0" w:name="_Hlk212798953"/>
      <w:r>
        <w:rPr>
          <w:rFonts w:hint="eastAsia" w:eastAsia="黑体"/>
          <w:sz w:val="52"/>
        </w:rPr>
        <w:t>电子式直流电能表</w:t>
      </w:r>
      <w:r>
        <w:rPr>
          <w:rFonts w:hint="eastAsia" w:eastAsia="黑体"/>
          <w:sz w:val="52"/>
          <w:lang w:val="en-US" w:eastAsia="zh-CN"/>
        </w:rPr>
        <w:t>检定规程</w:t>
      </w:r>
      <w:bookmarkStart w:id="84" w:name="_GoBack"/>
      <w:bookmarkEnd w:id="84"/>
    </w:p>
    <w:bookmarkEnd w:id="0"/>
    <w:p w14:paraId="0E0C6A09">
      <w:pPr>
        <w:spacing w:line="480" w:lineRule="auto"/>
        <w:jc w:val="center"/>
        <w:rPr>
          <w:rFonts w:eastAsia="黑体"/>
          <w:b/>
          <w:sz w:val="28"/>
        </w:rPr>
      </w:pPr>
      <w:r>
        <w:rPr>
          <w:b/>
          <w:sz w:val="28"/>
        </w:rPr>
        <w:t>Electrical Meters</w:t>
      </w:r>
    </w:p>
    <w:p w14:paraId="0D4CA3E1">
      <w:pPr>
        <w:spacing w:line="480" w:lineRule="auto"/>
        <w:jc w:val="center"/>
        <w:rPr>
          <w:rFonts w:eastAsia="黑体"/>
          <w:b/>
          <w:bCs/>
          <w:sz w:val="28"/>
          <w:szCs w:val="28"/>
        </w:rPr>
      </w:pPr>
      <w:r>
        <w:rPr>
          <w:rFonts w:eastAsia="黑体"/>
          <w:b/>
          <w:sz w:val="28"/>
        </w:rPr>
        <w:t>for Measuring Direct-current Electrical Energy</w:t>
      </w:r>
    </w:p>
    <w:p w14:paraId="5037A297">
      <w:pPr>
        <w:jc w:val="center"/>
        <w:rPr>
          <w:b/>
          <w:sz w:val="30"/>
        </w:rPr>
      </w:pPr>
      <w:r>
        <w:rPr>
          <w:rFonts w:hint="eastAsia" w:ascii="黑体" w:eastAsia="黑体"/>
          <w:sz w:val="28"/>
          <w:szCs w:val="28"/>
        </w:rPr>
        <w:t>(</w:t>
      </w:r>
      <w:r>
        <w:rPr>
          <w:rFonts w:hint="eastAsia" w:ascii="黑体" w:eastAsia="黑体"/>
          <w:sz w:val="28"/>
        </w:rPr>
        <w:t>征求意见稿</w:t>
      </w:r>
      <w:r>
        <w:rPr>
          <w:rFonts w:hint="eastAsia" w:ascii="黑体" w:eastAsia="黑体"/>
          <w:sz w:val="28"/>
          <w:szCs w:val="28"/>
        </w:rPr>
        <w:t>)</w:t>
      </w:r>
    </w:p>
    <w:p w14:paraId="01654903">
      <w:pPr>
        <w:jc w:val="center"/>
        <w:rPr>
          <w:rFonts w:ascii="黑体" w:eastAsia="黑体"/>
          <w:sz w:val="28"/>
        </w:rPr>
      </w:pPr>
    </w:p>
    <w:p w14:paraId="25AE9683">
      <w:pPr>
        <w:jc w:val="center"/>
        <w:rPr>
          <w:b/>
          <w:sz w:val="30"/>
        </w:rPr>
      </w:pPr>
    </w:p>
    <w:p w14:paraId="35D0EFB1">
      <w:pPr>
        <w:jc w:val="center"/>
        <w:rPr>
          <w:rFonts w:ascii="黑体" w:eastAsia="黑体"/>
          <w:b/>
          <w:sz w:val="30"/>
        </w:rPr>
      </w:pPr>
    </w:p>
    <w:p w14:paraId="2B881EF3">
      <w:pPr>
        <w:rPr>
          <w:rFonts w:ascii="黑体" w:eastAsia="黑体"/>
          <w:b/>
          <w:sz w:val="30"/>
        </w:rPr>
      </w:pPr>
    </w:p>
    <w:p w14:paraId="20181091">
      <w:pPr>
        <w:rPr>
          <w:rFonts w:ascii="黑体" w:eastAsia="黑体"/>
          <w:b/>
          <w:sz w:val="30"/>
        </w:rPr>
      </w:pPr>
    </w:p>
    <w:p w14:paraId="56405EAB">
      <w:pPr>
        <w:rPr>
          <w:rFonts w:ascii="黑体" w:eastAsia="黑体"/>
          <w:b/>
          <w:sz w:val="30"/>
        </w:rPr>
      </w:pPr>
    </w:p>
    <w:p w14:paraId="7E7CB7B5">
      <w:pPr>
        <w:rPr>
          <w:rFonts w:ascii="黑体" w:eastAsia="黑体"/>
          <w:b/>
          <w:sz w:val="30"/>
        </w:rPr>
      </w:pPr>
    </w:p>
    <w:p w14:paraId="11A0A90C">
      <w:pPr>
        <w:rPr>
          <w:rFonts w:ascii="黑体" w:eastAsia="黑体"/>
          <w:b/>
          <w:sz w:val="30"/>
        </w:rPr>
      </w:pPr>
    </w:p>
    <w:p w14:paraId="5B81E270">
      <w:pPr>
        <w:spacing w:line="480" w:lineRule="auto"/>
        <w:rPr>
          <w:rFonts w:ascii="黑体" w:eastAsia="黑体"/>
          <w:sz w:val="28"/>
          <w:szCs w:val="28"/>
        </w:rPr>
      </w:pPr>
      <w:r>
        <w:rPr>
          <w:rFonts w:hint="eastAsia" w:ascii="黑体" w:eastAsia="黑体"/>
          <w:sz w:val="28"/>
          <w:szCs w:val="28"/>
        </w:rPr>
        <w:t>20××</w:t>
      </w:r>
      <w:r>
        <w:rPr>
          <w:rFonts w:hint="eastAsia" w:ascii="黑体" w:eastAsia="黑体"/>
          <w:sz w:val="28"/>
          <w:szCs w:val="28"/>
        </w:rPr>
        <w:sym w:font="Symbol" w:char="F0BE"/>
      </w:r>
      <w:r>
        <w:rPr>
          <w:rFonts w:hint="eastAsia" w:ascii="黑体" w:eastAsia="黑体"/>
          <w:sz w:val="28"/>
          <w:szCs w:val="28"/>
        </w:rPr>
        <w:t>××</w:t>
      </w:r>
      <w:r>
        <w:rPr>
          <w:rFonts w:hint="eastAsia" w:ascii="黑体" w:eastAsia="黑体"/>
          <w:sz w:val="28"/>
          <w:szCs w:val="28"/>
        </w:rPr>
        <w:sym w:font="Symbol" w:char="F0BE"/>
      </w:r>
      <w:r>
        <w:rPr>
          <w:rFonts w:hint="eastAsia" w:ascii="黑体" w:eastAsia="黑体"/>
          <w:sz w:val="28"/>
          <w:szCs w:val="28"/>
        </w:rPr>
        <w:t>××发布                20××</w:t>
      </w:r>
      <w:r>
        <w:rPr>
          <w:rFonts w:hint="eastAsia" w:ascii="黑体" w:eastAsia="黑体"/>
          <w:sz w:val="28"/>
          <w:szCs w:val="28"/>
        </w:rPr>
        <w:sym w:font="Symbol" w:char="F0BE"/>
      </w:r>
      <w:r>
        <w:rPr>
          <w:rFonts w:hint="eastAsia" w:ascii="黑体" w:eastAsia="黑体"/>
          <w:sz w:val="28"/>
          <w:szCs w:val="28"/>
        </w:rPr>
        <w:t>××</w:t>
      </w:r>
      <w:r>
        <w:rPr>
          <w:rFonts w:hint="eastAsia" w:ascii="黑体" w:eastAsia="黑体"/>
          <w:sz w:val="28"/>
          <w:szCs w:val="28"/>
        </w:rPr>
        <w:sym w:font="Symbol" w:char="F0BE"/>
      </w:r>
      <w:r>
        <w:rPr>
          <w:rFonts w:hint="eastAsia" w:ascii="黑体" w:eastAsia="黑体"/>
          <w:sz w:val="28"/>
          <w:szCs w:val="28"/>
        </w:rPr>
        <w:t>××实施</w:t>
      </w:r>
    </w:p>
    <w:p w14:paraId="20D8BB8E">
      <w:pPr>
        <w:jc w:val="center"/>
        <w:rPr>
          <w:rFonts w:eastAsia="黑体"/>
          <w:sz w:val="28"/>
        </w:rPr>
      </w:pPr>
      <w:r>
        <w:rPr>
          <w:u w:val="single"/>
        </w:rPr>
        <mc:AlternateContent>
          <mc:Choice Requires="wps">
            <w:drawing>
              <wp:anchor distT="0" distB="0" distL="114300" distR="114300" simplePos="0" relativeHeight="251660288" behindDoc="0" locked="1" layoutInCell="1" allowOverlap="0">
                <wp:simplePos x="0" y="0"/>
                <wp:positionH relativeFrom="column">
                  <wp:align>center</wp:align>
                </wp:positionH>
                <wp:positionV relativeFrom="page">
                  <wp:posOffset>8987155</wp:posOffset>
                </wp:positionV>
                <wp:extent cx="5939790" cy="0"/>
                <wp:effectExtent l="11430" t="13970" r="11430" b="14605"/>
                <wp:wrapNone/>
                <wp:docPr id="2014878758" name="Line 2849"/>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5875">
                          <a:solidFill>
                            <a:srgbClr val="000000"/>
                          </a:solidFill>
                          <a:round/>
                        </a:ln>
                      </wps:spPr>
                      <wps:bodyPr/>
                    </wps:wsp>
                  </a:graphicData>
                </a:graphic>
              </wp:anchor>
            </w:drawing>
          </mc:Choice>
          <mc:Fallback>
            <w:pict>
              <v:line id="Line 2849" o:spid="_x0000_s1026" o:spt="20" style="position:absolute;left:0pt;margin-top:707.65pt;height:0pt;width:467.7pt;mso-position-horizontal:center;mso-position-vertical-relative:page;z-index:251660288;mso-width-relative:page;mso-height-relative:page;" filled="f" stroked="t" coordsize="21600,21600" o:allowoverlap="f" o:gfxdata="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ovRgEdcAAAAKAQAADwAAAAAAAAABACAAAAAi&#10;AAAAZHJzL2Rvd25yZXYueG1sUEsBAhQAFAAAAAgAh07iQED73dvSAQAArAMAAA4AAAAAAAAAAQAg&#10;AAAAJgEAAGRycy9lMm9Eb2MueG1sUEsFBgAAAAAGAAYAWQEAAGoFAAAAAA==&#10;">
                <v:fill on="f" focussize="0,0"/>
                <v:stroke weight="1.25pt" color="#000000" joinstyle="round"/>
                <v:imagedata o:title=""/>
                <o:lock v:ext="edit" aspectratio="f"/>
                <w10:anchorlock/>
              </v:line>
            </w:pict>
          </mc:Fallback>
        </mc:AlternateContent>
      </w:r>
      <w:r>
        <w:rPr>
          <w:rFonts w:hint="eastAsia" w:ascii="宋体" w:hAnsi="宋体"/>
          <w:b/>
          <w:spacing w:val="40"/>
          <w:sz w:val="44"/>
          <w:szCs w:val="44"/>
        </w:rPr>
        <w:t>国家市场监督管理总局</w:t>
      </w:r>
      <w:r>
        <w:rPr>
          <w:rFonts w:hint="eastAsia"/>
          <w:sz w:val="44"/>
        </w:rPr>
        <w:t xml:space="preserve">  </w:t>
      </w:r>
      <w:r>
        <w:rPr>
          <w:rFonts w:hint="eastAsia" w:eastAsia="黑体"/>
          <w:sz w:val="28"/>
        </w:rPr>
        <w:t>发 布</w:t>
      </w:r>
    </w:p>
    <w:p w14:paraId="359FFA66">
      <w:pPr>
        <w:spacing w:line="300" w:lineRule="auto"/>
        <w:ind w:right="3150" w:rightChars="1500"/>
        <w:jc w:val="center"/>
        <w:rPr>
          <w:rFonts w:eastAsia="黑体"/>
          <w:sz w:val="48"/>
          <w:szCs w:val="52"/>
        </w:rPr>
      </w:pPr>
      <w:r>
        <w:rPr>
          <w:rFonts w:eastAsia="黑体"/>
          <w:sz w:val="28"/>
        </w:rPr>
        <w:br w:type="page"/>
      </w:r>
      <w:r>
        <w:rPr>
          <w:rFonts w:hint="eastAsia" w:eastAsia="黑体"/>
          <w:sz w:val="28"/>
        </w:rPr>
        <w:t xml:space="preserve"> </w:t>
      </w:r>
      <w:r>
        <w:rPr>
          <w:rFonts w:hint="eastAsia" w:ascii="黑体" w:hAnsi="宋体" w:eastAsia="黑体"/>
          <w:sz w:val="48"/>
        </w:rPr>
        <w:t>电子式直流电能表检定规程</w:t>
      </w:r>
    </w:p>
    <w:p w14:paraId="5555DD4A">
      <w:pPr>
        <w:tabs>
          <w:tab w:val="left" w:pos="7560"/>
        </w:tabs>
        <w:snapToGrid w:val="0"/>
        <w:spacing w:line="300" w:lineRule="auto"/>
        <w:ind w:right="3150" w:rightChars="1500"/>
        <w:jc w:val="center"/>
        <w:rPr>
          <w:rFonts w:eastAsia="黑体"/>
          <w:sz w:val="28"/>
          <w:szCs w:val="28"/>
        </w:rPr>
      </w:pPr>
      <w:r>
        <w:rPr>
          <w:rFonts w:eastAsia="黑体"/>
          <w:sz w:val="28"/>
        </w:rPr>
        <w:t>Verification Regulation of Electrical Meters</w:t>
      </w:r>
    </w:p>
    <w:p w14:paraId="5A174F9A">
      <w:pPr>
        <w:tabs>
          <w:tab w:val="left" w:pos="7560"/>
        </w:tabs>
        <w:adjustRightInd w:val="0"/>
        <w:snapToGrid w:val="0"/>
        <w:spacing w:line="300" w:lineRule="auto"/>
        <w:ind w:right="3150" w:rightChars="1500"/>
        <w:jc w:val="center"/>
        <w:rPr>
          <w:rFonts w:eastAsia="黑体"/>
          <w:b/>
          <w:sz w:val="28"/>
          <w:szCs w:val="28"/>
        </w:rPr>
      </w:pPr>
      <w:r>
        <w:rPr>
          <w:rFonts w:eastAsia="黑体"/>
          <w:sz w:val="28"/>
        </w:rPr>
        <w:t>for Measuring Direct-current Electrical Energy</w:t>
      </w:r>
    </w:p>
    <w:p w14:paraId="4B559A1E">
      <w:pPr>
        <w:pStyle w:val="9"/>
        <w:spacing w:line="300" w:lineRule="auto"/>
        <w:ind w:right="3150" w:rightChars="1500"/>
        <w:jc w:val="center"/>
      </w:pPr>
    </w:p>
    <w:p w14:paraId="2E063C34">
      <w:pPr>
        <w:framePr w:w="2215" w:h="1123" w:hSpace="181" w:wrap="around" w:vAnchor="page" w:hAnchor="page" w:x="8228" w:y="2454" w:anchorLock="1"/>
        <w:pBdr>
          <w:top w:val="doubleWave" w:color="auto" w:sz="6" w:space="1"/>
          <w:left w:val="doubleWave" w:color="auto" w:sz="6" w:space="1"/>
          <w:bottom w:val="doubleWave" w:color="auto" w:sz="6" w:space="1"/>
          <w:right w:val="doubleWave" w:color="auto" w:sz="6" w:space="1"/>
        </w:pBdr>
        <w:snapToGrid w:val="0"/>
        <w:jc w:val="center"/>
        <w:rPr>
          <w:rFonts w:ascii="黑体" w:eastAsia="黑体"/>
          <w:sz w:val="28"/>
          <w:szCs w:val="28"/>
        </w:rPr>
      </w:pPr>
      <w:r>
        <w:rPr>
          <w:rFonts w:hint="eastAsia" w:ascii="黑体" w:eastAsia="黑体"/>
          <w:sz w:val="28"/>
          <w:szCs w:val="28"/>
        </w:rPr>
        <w:t>JJG 842-20XX</w:t>
      </w:r>
    </w:p>
    <w:p w14:paraId="40405F6C">
      <w:pPr>
        <w:framePr w:w="2215" w:h="1123" w:hSpace="181" w:wrap="around" w:vAnchor="page" w:hAnchor="page" w:x="8228" w:y="2454" w:anchorLock="1"/>
        <w:pBdr>
          <w:top w:val="doubleWave" w:color="auto" w:sz="6" w:space="1"/>
          <w:left w:val="doubleWave" w:color="auto" w:sz="6" w:space="1"/>
          <w:bottom w:val="doubleWave" w:color="auto" w:sz="6" w:space="1"/>
          <w:right w:val="doubleWave" w:color="auto" w:sz="6" w:space="1"/>
        </w:pBdr>
        <w:snapToGrid w:val="0"/>
        <w:jc w:val="center"/>
        <w:rPr>
          <w:rFonts w:ascii="黑体" w:eastAsia="黑体"/>
          <w:sz w:val="28"/>
          <w:szCs w:val="28"/>
        </w:rPr>
      </w:pPr>
      <w:r>
        <w:rPr>
          <w:rFonts w:hint="eastAsia" w:ascii="黑体" w:eastAsia="黑体"/>
          <w:sz w:val="28"/>
        </w:rPr>
        <w:t>代替JJG 842-2017</w:t>
      </w:r>
    </w:p>
    <w:p w14:paraId="0099857C">
      <w:pPr>
        <w:ind w:firstLine="560" w:firstLineChars="200"/>
        <w:jc w:val="left"/>
        <w:rPr>
          <w:sz w:val="28"/>
          <w:szCs w:val="28"/>
        </w:rPr>
      </w:pPr>
      <w:r>
        <w:rPr>
          <w:sz w:val="28"/>
          <w:szCs w:val="28"/>
        </w:rPr>
        <mc:AlternateContent>
          <mc:Choice Requires="wps">
            <w:drawing>
              <wp:anchor distT="0" distB="0" distL="114300" distR="114300" simplePos="0" relativeHeight="251661312" behindDoc="0" locked="1" layoutInCell="1" allowOverlap="0">
                <wp:simplePos x="0" y="0"/>
                <wp:positionH relativeFrom="column">
                  <wp:align>center</wp:align>
                </wp:positionH>
                <wp:positionV relativeFrom="page">
                  <wp:posOffset>3043555</wp:posOffset>
                </wp:positionV>
                <wp:extent cx="5868035" cy="0"/>
                <wp:effectExtent l="12700" t="13970" r="15240" b="14605"/>
                <wp:wrapNone/>
                <wp:docPr id="757606153" name="Line 2851"/>
                <wp:cNvGraphicFramePr/>
                <a:graphic xmlns:a="http://schemas.openxmlformats.org/drawingml/2006/main">
                  <a:graphicData uri="http://schemas.microsoft.com/office/word/2010/wordprocessingShape">
                    <wps:wsp>
                      <wps:cNvCnPr>
                        <a:cxnSpLocks noChangeShapeType="1"/>
                      </wps:cNvCnPr>
                      <wps:spPr bwMode="auto">
                        <a:xfrm>
                          <a:off x="0" y="0"/>
                          <a:ext cx="5868035" cy="0"/>
                        </a:xfrm>
                        <a:prstGeom prst="line">
                          <a:avLst/>
                        </a:prstGeom>
                        <a:noFill/>
                        <a:ln w="12700">
                          <a:solidFill>
                            <a:srgbClr val="000000"/>
                          </a:solidFill>
                          <a:round/>
                        </a:ln>
                      </wps:spPr>
                      <wps:bodyPr/>
                    </wps:wsp>
                  </a:graphicData>
                </a:graphic>
              </wp:anchor>
            </w:drawing>
          </mc:Choice>
          <mc:Fallback>
            <w:pict>
              <v:line id="Line 2851" o:spid="_x0000_s1026" o:spt="20" style="position:absolute;left:0pt;margin-top:239.65pt;height:0pt;width:462.05pt;mso-position-horizontal:center;mso-position-vertical-relative:page;z-index:251661312;mso-width-relative:page;mso-height-relative:page;" filled="f" stroked="t" coordsize="21600,21600" o:allowoverlap="f" o:gfxdata="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B3x0UdcAAAAIAQAADwAAAAAAAAABACAAAAAi&#10;AAAAZHJzL2Rvd25yZXYueG1sUEsBAhQAFAAAAAgAh07iQPGGYQjSAQAAqwMAAA4AAAAAAAAAAQAg&#10;AAAAJgEAAGRycy9lMm9Eb2MueG1sUEsFBgAAAAAGAAYAWQEAAGoFAAAAAA==&#10;">
                <v:fill on="f" focussize="0,0"/>
                <v:stroke weight="1pt" color="#000000" joinstyle="round"/>
                <v:imagedata o:title=""/>
                <o:lock v:ext="edit" aspectratio="f"/>
                <w10:anchorlock/>
              </v:line>
            </w:pict>
          </mc:Fallback>
        </mc:AlternateContent>
      </w:r>
    </w:p>
    <w:p w14:paraId="1CA291F5">
      <w:pPr>
        <w:rPr>
          <w:rFonts w:eastAsia="黑体"/>
          <w:sz w:val="28"/>
          <w:szCs w:val="28"/>
        </w:rPr>
      </w:pPr>
    </w:p>
    <w:p w14:paraId="23C6286B">
      <w:pPr>
        <w:rPr>
          <w:rFonts w:hint="eastAsia" w:ascii="宋体" w:hAnsi="宋体" w:eastAsia="黑体"/>
          <w:sz w:val="28"/>
          <w:szCs w:val="28"/>
        </w:rPr>
      </w:pPr>
    </w:p>
    <w:p w14:paraId="040949A2">
      <w:pPr>
        <w:spacing w:line="360" w:lineRule="auto"/>
        <w:ind w:firstLine="840" w:firstLineChars="300"/>
        <w:rPr>
          <w:rFonts w:hint="eastAsia" w:ascii="宋体" w:hAnsi="宋体" w:eastAsia="黑体"/>
          <w:sz w:val="28"/>
          <w:szCs w:val="28"/>
        </w:rPr>
      </w:pPr>
      <w:r>
        <w:rPr>
          <w:rFonts w:hint="eastAsia" w:ascii="宋体" w:hAnsi="宋体" w:eastAsia="黑体"/>
          <w:sz w:val="28"/>
          <w:szCs w:val="28"/>
        </w:rPr>
        <w:t>归 口 单 位：全国电磁计量技术委员会</w:t>
      </w:r>
    </w:p>
    <w:p w14:paraId="735A82E2">
      <w:pPr>
        <w:spacing w:line="360" w:lineRule="auto"/>
        <w:ind w:firstLine="840" w:firstLineChars="300"/>
        <w:rPr>
          <w:rFonts w:hint="eastAsia" w:ascii="宋体" w:hAnsi="宋体" w:eastAsia="黑体"/>
          <w:sz w:val="28"/>
          <w:szCs w:val="28"/>
        </w:rPr>
      </w:pPr>
      <w:r>
        <w:rPr>
          <w:rFonts w:hint="eastAsia" w:ascii="宋体" w:hAnsi="宋体" w:eastAsia="黑体"/>
          <w:sz w:val="28"/>
          <w:szCs w:val="28"/>
        </w:rPr>
        <w:t>主要起草单位：</w:t>
      </w:r>
    </w:p>
    <w:p w14:paraId="725C150B">
      <w:pPr>
        <w:spacing w:line="360" w:lineRule="auto"/>
        <w:ind w:firstLine="840" w:firstLineChars="300"/>
        <w:rPr>
          <w:rFonts w:hint="eastAsia" w:ascii="宋体" w:hAnsi="宋体" w:eastAsia="黑体"/>
          <w:sz w:val="28"/>
          <w:szCs w:val="28"/>
        </w:rPr>
      </w:pPr>
      <w:r>
        <w:rPr>
          <w:rFonts w:hint="eastAsia" w:ascii="宋体" w:hAnsi="宋体" w:eastAsia="黑体"/>
          <w:sz w:val="28"/>
          <w:szCs w:val="28"/>
        </w:rPr>
        <w:t xml:space="preserve">              </w:t>
      </w:r>
    </w:p>
    <w:p w14:paraId="51A02FAC">
      <w:pPr>
        <w:spacing w:line="360" w:lineRule="auto"/>
        <w:ind w:firstLine="840" w:firstLineChars="300"/>
        <w:rPr>
          <w:rFonts w:hint="eastAsia" w:ascii="宋体" w:hAnsi="宋体" w:eastAsia="黑体"/>
          <w:sz w:val="28"/>
          <w:szCs w:val="28"/>
        </w:rPr>
      </w:pPr>
      <w:r>
        <w:rPr>
          <w:rFonts w:hint="eastAsia" w:ascii="宋体" w:hAnsi="宋体" w:eastAsia="黑体"/>
          <w:sz w:val="28"/>
          <w:szCs w:val="28"/>
        </w:rPr>
        <w:t xml:space="preserve">参加起草单位： </w:t>
      </w:r>
    </w:p>
    <w:p w14:paraId="0951A9E3">
      <w:pPr>
        <w:spacing w:line="360" w:lineRule="auto"/>
        <w:ind w:firstLine="2550" w:firstLineChars="911"/>
        <w:rPr>
          <w:rFonts w:hint="eastAsia" w:ascii="宋体" w:hAnsi="宋体" w:eastAsia="黑体"/>
          <w:sz w:val="28"/>
          <w:szCs w:val="28"/>
        </w:rPr>
      </w:pPr>
      <w:r>
        <w:rPr>
          <w:rFonts w:hint="eastAsia" w:ascii="宋体" w:hAnsi="宋体" w:eastAsia="黑体"/>
          <w:sz w:val="28"/>
          <w:szCs w:val="28"/>
        </w:rPr>
        <w:t xml:space="preserve">  </w:t>
      </w:r>
    </w:p>
    <w:p w14:paraId="1CEF191F">
      <w:pPr>
        <w:spacing w:line="360" w:lineRule="auto"/>
        <w:ind w:firstLine="2550" w:firstLineChars="911"/>
        <w:rPr>
          <w:rFonts w:hint="eastAsia" w:ascii="宋体" w:hAnsi="宋体" w:eastAsia="黑体"/>
          <w:sz w:val="28"/>
          <w:szCs w:val="28"/>
        </w:rPr>
      </w:pPr>
      <w:r>
        <w:rPr>
          <w:rFonts w:hint="eastAsia" w:ascii="宋体" w:hAnsi="宋体" w:eastAsia="黑体"/>
          <w:sz w:val="28"/>
          <w:szCs w:val="28"/>
        </w:rPr>
        <w:t xml:space="preserve">  </w:t>
      </w:r>
    </w:p>
    <w:p w14:paraId="1BA381D2">
      <w:pPr>
        <w:spacing w:line="360" w:lineRule="auto"/>
        <w:ind w:firstLine="2520" w:firstLineChars="900"/>
        <w:rPr>
          <w:rFonts w:hint="eastAsia" w:ascii="宋体" w:hAnsi="宋体" w:eastAsia="黑体"/>
          <w:sz w:val="28"/>
          <w:szCs w:val="28"/>
        </w:rPr>
      </w:pPr>
    </w:p>
    <w:p w14:paraId="6AB81AAC">
      <w:pPr>
        <w:spacing w:line="360" w:lineRule="auto"/>
        <w:ind w:firstLine="2520" w:firstLineChars="900"/>
        <w:rPr>
          <w:rFonts w:hint="eastAsia" w:ascii="宋体" w:hAnsi="宋体" w:eastAsia="黑体"/>
          <w:sz w:val="28"/>
          <w:szCs w:val="28"/>
        </w:rPr>
      </w:pPr>
    </w:p>
    <w:p w14:paraId="33E419F8">
      <w:pPr>
        <w:spacing w:line="360" w:lineRule="auto"/>
        <w:ind w:firstLine="2520" w:firstLineChars="900"/>
        <w:rPr>
          <w:rFonts w:hint="eastAsia" w:ascii="宋体" w:hAnsi="宋体" w:eastAsia="黑体"/>
          <w:sz w:val="28"/>
          <w:szCs w:val="28"/>
        </w:rPr>
      </w:pPr>
    </w:p>
    <w:p w14:paraId="50C4FEA2">
      <w:pPr>
        <w:spacing w:line="360" w:lineRule="auto"/>
        <w:ind w:firstLine="2520" w:firstLineChars="900"/>
        <w:rPr>
          <w:rFonts w:hint="eastAsia" w:ascii="宋体" w:hAnsi="宋体" w:eastAsia="黑体"/>
          <w:sz w:val="28"/>
          <w:szCs w:val="28"/>
        </w:rPr>
      </w:pPr>
    </w:p>
    <w:p w14:paraId="306967E4">
      <w:pPr>
        <w:spacing w:line="360" w:lineRule="auto"/>
        <w:ind w:firstLine="2520" w:firstLineChars="900"/>
        <w:rPr>
          <w:rFonts w:hint="eastAsia" w:ascii="宋体" w:hAnsi="宋体" w:eastAsia="黑体"/>
          <w:sz w:val="28"/>
          <w:szCs w:val="28"/>
        </w:rPr>
      </w:pPr>
    </w:p>
    <w:p w14:paraId="56C363E7">
      <w:pPr>
        <w:spacing w:line="360" w:lineRule="auto"/>
        <w:ind w:firstLine="2520" w:firstLineChars="900"/>
        <w:rPr>
          <w:rFonts w:hint="eastAsia" w:ascii="宋体" w:hAnsi="宋体" w:eastAsia="黑体"/>
          <w:sz w:val="28"/>
          <w:szCs w:val="28"/>
        </w:rPr>
      </w:pPr>
    </w:p>
    <w:p w14:paraId="20DC7919">
      <w:pPr>
        <w:rPr>
          <w:rFonts w:eastAsia="黑体"/>
          <w:sz w:val="28"/>
        </w:rPr>
      </w:pPr>
      <w:r>
        <w:rPr>
          <w:rFonts w:hint="eastAsia"/>
          <w:sz w:val="28"/>
        </w:rPr>
        <w:t>本规程委托全国电磁计量技术委员会负责解释。</w:t>
      </w:r>
    </w:p>
    <w:p w14:paraId="451E884D">
      <w:pPr>
        <w:spacing w:line="360" w:lineRule="auto"/>
        <w:rPr>
          <w:rFonts w:eastAsia="黑体"/>
          <w:sz w:val="28"/>
        </w:rPr>
      </w:pPr>
      <w:r>
        <w:rPr>
          <w:rFonts w:eastAsia="黑体"/>
          <w:sz w:val="28"/>
        </w:rPr>
        <w:br w:type="page"/>
      </w:r>
    </w:p>
    <w:p w14:paraId="51CC6CA4">
      <w:pPr>
        <w:spacing w:line="360" w:lineRule="auto"/>
        <w:rPr>
          <w:rFonts w:eastAsia="黑体"/>
          <w:sz w:val="28"/>
        </w:rPr>
      </w:pPr>
    </w:p>
    <w:p w14:paraId="3F5FD21B">
      <w:pPr>
        <w:spacing w:line="360" w:lineRule="auto"/>
        <w:rPr>
          <w:rFonts w:eastAsia="黑体"/>
          <w:sz w:val="28"/>
        </w:rPr>
      </w:pPr>
    </w:p>
    <w:p w14:paraId="5A0C315F">
      <w:pPr>
        <w:spacing w:line="360" w:lineRule="auto"/>
        <w:ind w:firstLine="420" w:firstLineChars="150"/>
        <w:rPr>
          <w:rFonts w:eastAsia="黑体"/>
          <w:sz w:val="28"/>
        </w:rPr>
      </w:pPr>
      <w:r>
        <w:rPr>
          <w:rFonts w:hint="eastAsia" w:eastAsia="黑体"/>
          <w:sz w:val="28"/>
        </w:rPr>
        <w:t>本规</w:t>
      </w:r>
      <w:r>
        <w:rPr>
          <w:rFonts w:hint="eastAsia" w:ascii="黑体" w:eastAsia="黑体"/>
          <w:bCs/>
          <w:sz w:val="28"/>
          <w:szCs w:val="28"/>
        </w:rPr>
        <w:t>程</w:t>
      </w:r>
      <w:r>
        <w:rPr>
          <w:rFonts w:hint="eastAsia" w:eastAsia="黑体"/>
          <w:sz w:val="28"/>
        </w:rPr>
        <w:t>主要起草人：</w:t>
      </w:r>
    </w:p>
    <w:p w14:paraId="3BC107B2">
      <w:pPr>
        <w:spacing w:line="360" w:lineRule="auto"/>
        <w:ind w:firstLine="1400" w:firstLineChars="500"/>
        <w:rPr>
          <w:rFonts w:eastAsia="黑体"/>
          <w:sz w:val="28"/>
        </w:rPr>
      </w:pPr>
      <w:r>
        <w:rPr>
          <w:rFonts w:hint="eastAsia" w:eastAsia="黑体"/>
          <w:sz w:val="28"/>
        </w:rPr>
        <w:t xml:space="preserve">   </w:t>
      </w:r>
    </w:p>
    <w:p w14:paraId="0B1271F8">
      <w:pPr>
        <w:spacing w:line="360" w:lineRule="auto"/>
        <w:ind w:firstLine="1400" w:firstLineChars="500"/>
        <w:rPr>
          <w:rFonts w:eastAsia="黑体"/>
          <w:sz w:val="28"/>
        </w:rPr>
      </w:pPr>
    </w:p>
    <w:p w14:paraId="55F18E0C">
      <w:pPr>
        <w:spacing w:line="360" w:lineRule="auto"/>
        <w:ind w:firstLine="1400" w:firstLineChars="500"/>
        <w:rPr>
          <w:rFonts w:eastAsia="黑体"/>
          <w:sz w:val="28"/>
        </w:rPr>
      </w:pPr>
    </w:p>
    <w:p w14:paraId="7BA658B4">
      <w:pPr>
        <w:spacing w:line="360" w:lineRule="auto"/>
        <w:ind w:firstLine="1260" w:firstLineChars="450"/>
        <w:rPr>
          <w:rFonts w:eastAsia="黑体"/>
          <w:sz w:val="28"/>
        </w:rPr>
      </w:pPr>
      <w:r>
        <w:rPr>
          <w:rFonts w:hint="eastAsia" w:eastAsia="黑体"/>
          <w:sz w:val="28"/>
        </w:rPr>
        <w:t>参加起草人：</w:t>
      </w:r>
    </w:p>
    <w:p w14:paraId="37A5FCAF">
      <w:pPr>
        <w:spacing w:line="360" w:lineRule="auto"/>
        <w:rPr>
          <w:rFonts w:eastAsia="黑体"/>
          <w:sz w:val="28"/>
        </w:rPr>
      </w:pPr>
      <w:r>
        <w:rPr>
          <w:rFonts w:hint="eastAsia" w:eastAsia="黑体"/>
          <w:sz w:val="28"/>
        </w:rPr>
        <w:t xml:space="preserve">             </w:t>
      </w:r>
    </w:p>
    <w:p w14:paraId="75DB92D3">
      <w:pPr>
        <w:spacing w:line="360" w:lineRule="auto"/>
        <w:rPr>
          <w:rFonts w:eastAsia="黑体"/>
          <w:sz w:val="28"/>
        </w:rPr>
      </w:pPr>
      <w:r>
        <w:rPr>
          <w:rFonts w:hint="eastAsia" w:eastAsia="黑体"/>
          <w:sz w:val="28"/>
        </w:rPr>
        <w:t xml:space="preserve">             </w:t>
      </w:r>
    </w:p>
    <w:p w14:paraId="039C8CE9">
      <w:pPr>
        <w:spacing w:line="360" w:lineRule="auto"/>
        <w:rPr>
          <w:rFonts w:eastAsia="黑体"/>
          <w:sz w:val="28"/>
        </w:rPr>
      </w:pPr>
      <w:r>
        <w:rPr>
          <w:rFonts w:hint="eastAsia" w:eastAsia="黑体"/>
          <w:sz w:val="28"/>
        </w:rPr>
        <w:t xml:space="preserve">             </w:t>
      </w:r>
    </w:p>
    <w:p w14:paraId="27D67B9F">
      <w:pPr>
        <w:spacing w:line="360" w:lineRule="auto"/>
        <w:rPr>
          <w:rFonts w:eastAsia="黑体"/>
          <w:sz w:val="28"/>
        </w:rPr>
      </w:pPr>
      <w:r>
        <w:rPr>
          <w:rFonts w:hint="eastAsia" w:eastAsia="黑体"/>
          <w:sz w:val="28"/>
        </w:rPr>
        <w:t xml:space="preserve">             </w:t>
      </w:r>
    </w:p>
    <w:p w14:paraId="6A514658">
      <w:pPr>
        <w:rPr>
          <w:rFonts w:ascii="黑体" w:eastAsia="黑体"/>
          <w:sz w:val="44"/>
          <w:szCs w:val="44"/>
        </w:rPr>
      </w:pPr>
    </w:p>
    <w:p w14:paraId="4B049807">
      <w:pPr>
        <w:jc w:val="center"/>
        <w:rPr>
          <w:rFonts w:ascii="黑体" w:eastAsia="黑体"/>
          <w:sz w:val="44"/>
          <w:szCs w:val="44"/>
        </w:rPr>
        <w:sectPr>
          <w:headerReference r:id="rId5" w:type="first"/>
          <w:headerReference r:id="rId3" w:type="default"/>
          <w:footerReference r:id="rId6" w:type="default"/>
          <w:headerReference r:id="rId4" w:type="even"/>
          <w:footerReference r:id="rId7" w:type="even"/>
          <w:pgSz w:w="11906" w:h="16838"/>
          <w:pgMar w:top="1985" w:right="1134" w:bottom="1418" w:left="1418" w:header="1418" w:footer="1304" w:gutter="0"/>
          <w:pgNumType w:start="1"/>
          <w:cols w:space="425" w:num="1"/>
          <w:titlePg/>
          <w:docGrid w:type="linesAndChars" w:linePitch="312" w:charSpace="0"/>
        </w:sectPr>
      </w:pPr>
    </w:p>
    <w:p w14:paraId="0A491A44">
      <w:pPr>
        <w:jc w:val="center"/>
        <w:rPr>
          <w:rFonts w:ascii="黑体" w:eastAsia="黑体"/>
          <w:sz w:val="44"/>
          <w:szCs w:val="44"/>
        </w:rPr>
      </w:pPr>
    </w:p>
    <w:p w14:paraId="31814E63">
      <w:pPr>
        <w:jc w:val="center"/>
        <w:rPr>
          <w:rFonts w:ascii="黑体" w:eastAsia="黑体"/>
          <w:sz w:val="44"/>
          <w:szCs w:val="44"/>
        </w:rPr>
      </w:pPr>
      <w:r>
        <w:rPr>
          <w:rFonts w:hint="eastAsia" w:ascii="黑体" w:eastAsia="黑体"/>
          <w:sz w:val="44"/>
          <w:szCs w:val="44"/>
        </w:rPr>
        <w:t>目 录</w:t>
      </w:r>
    </w:p>
    <w:p w14:paraId="0B1AD8B3">
      <w:pPr>
        <w:pStyle w:val="23"/>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"1-2" \h \z \u \t "标题 3,3" </w:instrText>
      </w:r>
      <w:r>
        <w:fldChar w:fldCharType="separate"/>
      </w:r>
      <w:r>
        <w:fldChar w:fldCharType="begin"/>
      </w:r>
      <w:r>
        <w:instrText xml:space="preserve"> HYPERLINK \l "_Toc209090321" </w:instrText>
      </w:r>
      <w:r>
        <w:fldChar w:fldCharType="separate"/>
      </w:r>
      <w:r>
        <w:rPr>
          <w:rStyle w:val="37"/>
          <w:rFonts w:hint="eastAsia" w:ascii="黑体" w:hAnsi="黑体" w:eastAsia="黑体"/>
        </w:rPr>
        <w:t>引言</w:t>
      </w:r>
      <w:r>
        <w:rPr>
          <w:rFonts w:hint="eastAsia"/>
        </w:rPr>
        <w:tab/>
      </w:r>
      <w:r>
        <w:rPr>
          <w:rFonts w:hint="eastAsia"/>
        </w:rPr>
        <w:fldChar w:fldCharType="begin"/>
      </w:r>
      <w:r>
        <w:rPr>
          <w:rFonts w:hint="eastAsia"/>
        </w:rPr>
        <w:instrText xml:space="preserve"> </w:instrText>
      </w:r>
      <w:r>
        <w:instrText xml:space="preserve">PAGEREF _Toc209090321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1FF7FE21">
      <w:pPr>
        <w:pStyle w:val="23"/>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"_Toc209090322" </w:instrText>
      </w:r>
      <w:r>
        <w:fldChar w:fldCharType="separate"/>
      </w:r>
      <w:r>
        <w:rPr>
          <w:rStyle w:val="37"/>
          <w:rFonts w:hint="eastAsia"/>
        </w:rPr>
        <w:t>1  范围</w:t>
      </w:r>
      <w:r>
        <w:rPr>
          <w:rFonts w:hint="eastAsia"/>
        </w:rPr>
        <w:tab/>
      </w:r>
      <w:r>
        <w:rPr>
          <w:rFonts w:hint="eastAsia"/>
        </w:rPr>
        <w:fldChar w:fldCharType="begin"/>
      </w:r>
      <w:r>
        <w:rPr>
          <w:rFonts w:hint="eastAsia"/>
        </w:rPr>
        <w:instrText xml:space="preserve"> </w:instrText>
      </w:r>
      <w:r>
        <w:instrText xml:space="preserve">PAGEREF _Toc209090322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7DD0D2F">
      <w:pPr>
        <w:pStyle w:val="23"/>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"_Toc209090323" </w:instrText>
      </w:r>
      <w:r>
        <w:fldChar w:fldCharType="separate"/>
      </w:r>
      <w:r>
        <w:rPr>
          <w:rStyle w:val="37"/>
          <w:rFonts w:hint="eastAsia"/>
        </w:rPr>
        <w:t>2  引用文件</w:t>
      </w:r>
      <w:r>
        <w:rPr>
          <w:rFonts w:hint="eastAsia"/>
        </w:rPr>
        <w:tab/>
      </w:r>
      <w:r>
        <w:rPr>
          <w:rFonts w:hint="eastAsia"/>
        </w:rPr>
        <w:fldChar w:fldCharType="begin"/>
      </w:r>
      <w:r>
        <w:rPr>
          <w:rFonts w:hint="eastAsia"/>
        </w:rPr>
        <w:instrText xml:space="preserve"> </w:instrText>
      </w:r>
      <w:r>
        <w:instrText xml:space="preserve">PAGEREF _Toc209090323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64F8BB5">
      <w:pPr>
        <w:pStyle w:val="23"/>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"_Toc209090324" </w:instrText>
      </w:r>
      <w:r>
        <w:fldChar w:fldCharType="separate"/>
      </w:r>
      <w:r>
        <w:rPr>
          <w:rStyle w:val="37"/>
          <w:rFonts w:hint="eastAsia"/>
        </w:rPr>
        <w:t>3  术语</w:t>
      </w:r>
      <w:r>
        <w:rPr>
          <w:rFonts w:hint="eastAsia"/>
        </w:rPr>
        <w:tab/>
      </w:r>
      <w:r>
        <w:rPr>
          <w:rFonts w:hint="eastAsia"/>
        </w:rPr>
        <w:fldChar w:fldCharType="begin"/>
      </w:r>
      <w:r>
        <w:rPr>
          <w:rFonts w:hint="eastAsia"/>
        </w:rPr>
        <w:instrText xml:space="preserve"> </w:instrText>
      </w:r>
      <w:r>
        <w:instrText xml:space="preserve">PAGEREF _Toc209090324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4AF6B1A">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"_Toc209090325" </w:instrText>
      </w:r>
      <w:r>
        <w:fldChar w:fldCharType="separate"/>
      </w:r>
      <w:r>
        <w:rPr>
          <w:rStyle w:val="37"/>
          <w:rFonts w:hint="eastAsia"/>
        </w:rPr>
        <w:t xml:space="preserve">3.1  直接接入电能表  </w:t>
      </w:r>
      <w:r>
        <w:rPr>
          <w:rFonts w:hint="eastAsia"/>
        </w:rPr>
        <w:tab/>
      </w:r>
      <w:r>
        <w:rPr>
          <w:rFonts w:hint="eastAsia"/>
        </w:rPr>
        <w:fldChar w:fldCharType="begin"/>
      </w:r>
      <w:r>
        <w:rPr>
          <w:rFonts w:hint="eastAsia"/>
        </w:rPr>
        <w:instrText xml:space="preserve"> </w:instrText>
      </w:r>
      <w:r>
        <w:instrText xml:space="preserve">PAGEREF _Toc209090325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8ACC82C">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"_Toc209090326" </w:instrText>
      </w:r>
      <w:r>
        <w:fldChar w:fldCharType="separate"/>
      </w:r>
      <w:r>
        <w:rPr>
          <w:rStyle w:val="37"/>
          <w:rFonts w:hint="eastAsia"/>
        </w:rPr>
        <w:t xml:space="preserve">3.2  间接接入电能表  </w:t>
      </w:r>
      <w:r>
        <w:rPr>
          <w:rFonts w:hint="eastAsia"/>
        </w:rPr>
        <w:tab/>
      </w:r>
      <w:r>
        <w:rPr>
          <w:rFonts w:hint="eastAsia"/>
        </w:rPr>
        <w:fldChar w:fldCharType="begin"/>
      </w:r>
      <w:r>
        <w:rPr>
          <w:rFonts w:hint="eastAsia"/>
        </w:rPr>
        <w:instrText xml:space="preserve"> </w:instrText>
      </w:r>
      <w:r>
        <w:instrText xml:space="preserve">PAGEREF _Toc209090326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788000C">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"_Toc209090327" </w:instrText>
      </w:r>
      <w:r>
        <w:fldChar w:fldCharType="separate"/>
      </w:r>
      <w:r>
        <w:rPr>
          <w:rStyle w:val="37"/>
          <w:rFonts w:hint="eastAsia"/>
        </w:rPr>
        <w:t xml:space="preserve">3.3  A类直流电能表  </w:t>
      </w:r>
      <w:r>
        <w:rPr>
          <w:rFonts w:hint="eastAsia"/>
        </w:rPr>
        <w:tab/>
      </w:r>
      <w:r>
        <w:rPr>
          <w:rFonts w:hint="eastAsia"/>
        </w:rPr>
        <w:fldChar w:fldCharType="begin"/>
      </w:r>
      <w:r>
        <w:rPr>
          <w:rFonts w:hint="eastAsia"/>
        </w:rPr>
        <w:instrText xml:space="preserve"> </w:instrText>
      </w:r>
      <w:r>
        <w:instrText xml:space="preserve">PAGEREF _Toc209090327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776B1CF">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"_Toc209090328" </w:instrText>
      </w:r>
      <w:r>
        <w:fldChar w:fldCharType="separate"/>
      </w:r>
      <w:r>
        <w:rPr>
          <w:rStyle w:val="37"/>
          <w:rFonts w:hint="eastAsia"/>
        </w:rPr>
        <w:t xml:space="preserve">3.4  B类直流电能表  </w:t>
      </w:r>
      <w:r>
        <w:rPr>
          <w:rFonts w:hint="eastAsia"/>
        </w:rPr>
        <w:tab/>
      </w:r>
      <w:r>
        <w:rPr>
          <w:rFonts w:hint="eastAsia"/>
        </w:rPr>
        <w:fldChar w:fldCharType="begin"/>
      </w:r>
      <w:r>
        <w:rPr>
          <w:rFonts w:hint="eastAsia"/>
        </w:rPr>
        <w:instrText xml:space="preserve"> </w:instrText>
      </w:r>
      <w:r>
        <w:instrText xml:space="preserve">PAGEREF _Toc209090328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F905027">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"_Toc209090329" </w:instrText>
      </w:r>
      <w:r>
        <w:fldChar w:fldCharType="separate"/>
      </w:r>
      <w:r>
        <w:rPr>
          <w:rStyle w:val="37"/>
          <w:rFonts w:hint="eastAsia"/>
        </w:rPr>
        <w:t xml:space="preserve">3.5  标称电压  </w:t>
      </w:r>
      <w:r>
        <w:rPr>
          <w:rFonts w:hint="eastAsia"/>
        </w:rPr>
        <w:tab/>
      </w:r>
      <w:r>
        <w:rPr>
          <w:rFonts w:hint="eastAsia"/>
        </w:rPr>
        <w:fldChar w:fldCharType="begin"/>
      </w:r>
      <w:r>
        <w:rPr>
          <w:rFonts w:hint="eastAsia"/>
        </w:rPr>
        <w:instrText xml:space="preserve"> </w:instrText>
      </w:r>
      <w:r>
        <w:instrText xml:space="preserve">PAGEREF _Toc209090329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E5FCEF8">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"_Toc209090330" </w:instrText>
      </w:r>
      <w:r>
        <w:fldChar w:fldCharType="separate"/>
      </w:r>
      <w:r>
        <w:rPr>
          <w:rStyle w:val="37"/>
          <w:rFonts w:hint="eastAsia"/>
        </w:rPr>
        <w:t xml:space="preserve">3.6  最小标称电压  </w:t>
      </w:r>
      <w:r>
        <w:rPr>
          <w:rFonts w:hint="eastAsia"/>
        </w:rPr>
        <w:tab/>
      </w:r>
      <w:r>
        <w:rPr>
          <w:rFonts w:hint="eastAsia"/>
        </w:rPr>
        <w:fldChar w:fldCharType="begin"/>
      </w:r>
      <w:r>
        <w:rPr>
          <w:rFonts w:hint="eastAsia"/>
        </w:rPr>
        <w:instrText xml:space="preserve"> </w:instrText>
      </w:r>
      <w:r>
        <w:instrText xml:space="preserve">PAGEREF _Toc209090330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C93E206">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"_Toc209090331" </w:instrText>
      </w:r>
      <w:r>
        <w:fldChar w:fldCharType="separate"/>
      </w:r>
      <w:r>
        <w:rPr>
          <w:rStyle w:val="37"/>
          <w:rFonts w:hint="eastAsia"/>
        </w:rPr>
        <w:t xml:space="preserve">3.7  最大标称电压  </w:t>
      </w:r>
      <w:r>
        <w:rPr>
          <w:rFonts w:hint="eastAsia"/>
        </w:rPr>
        <w:tab/>
      </w:r>
      <w:r>
        <w:rPr>
          <w:rFonts w:hint="eastAsia"/>
        </w:rPr>
        <w:fldChar w:fldCharType="begin"/>
      </w:r>
      <w:r>
        <w:rPr>
          <w:rFonts w:hint="eastAsia"/>
        </w:rPr>
        <w:instrText xml:space="preserve"> </w:instrText>
      </w:r>
      <w:r>
        <w:instrText xml:space="preserve">PAGEREF _Toc209090331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052E99C">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"_Toc209090332" </w:instrText>
      </w:r>
      <w:r>
        <w:fldChar w:fldCharType="separate"/>
      </w:r>
      <w:r>
        <w:rPr>
          <w:rStyle w:val="37"/>
          <w:rFonts w:hint="eastAsia"/>
        </w:rPr>
        <w:t xml:space="preserve">3.8  标称电流  </w:t>
      </w:r>
      <w:r>
        <w:rPr>
          <w:rFonts w:hint="eastAsia"/>
        </w:rPr>
        <w:tab/>
      </w:r>
      <w:r>
        <w:rPr>
          <w:rFonts w:hint="eastAsia"/>
        </w:rPr>
        <w:fldChar w:fldCharType="begin"/>
      </w:r>
      <w:r>
        <w:rPr>
          <w:rFonts w:hint="eastAsia"/>
        </w:rPr>
        <w:instrText xml:space="preserve"> </w:instrText>
      </w:r>
      <w:r>
        <w:instrText xml:space="preserve">PAGEREF _Toc209090332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7D8A8AB">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"_Toc209090333" </w:instrText>
      </w:r>
      <w:r>
        <w:fldChar w:fldCharType="separate"/>
      </w:r>
      <w:r>
        <w:rPr>
          <w:rStyle w:val="37"/>
          <w:rFonts w:hint="eastAsia"/>
        </w:rPr>
        <w:t xml:space="preserve">3.9  起动电流  </w:t>
      </w:r>
      <w:r>
        <w:rPr>
          <w:rFonts w:hint="eastAsia"/>
        </w:rPr>
        <w:tab/>
      </w:r>
      <w:r>
        <w:rPr>
          <w:rFonts w:hint="eastAsia"/>
        </w:rPr>
        <w:fldChar w:fldCharType="begin"/>
      </w:r>
      <w:r>
        <w:rPr>
          <w:rFonts w:hint="eastAsia"/>
        </w:rPr>
        <w:instrText xml:space="preserve"> </w:instrText>
      </w:r>
      <w:r>
        <w:instrText xml:space="preserve">PAGEREF _Toc209090333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DCB54EF">
      <w:pPr>
        <w:pStyle w:val="23"/>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"_Toc209090334" </w:instrText>
      </w:r>
      <w:r>
        <w:fldChar w:fldCharType="separate"/>
      </w:r>
      <w:r>
        <w:rPr>
          <w:rStyle w:val="37"/>
          <w:rFonts w:hint="eastAsia"/>
        </w:rPr>
        <w:t>4  概述</w:t>
      </w:r>
      <w:r>
        <w:rPr>
          <w:rFonts w:hint="eastAsia"/>
        </w:rPr>
        <w:tab/>
      </w:r>
      <w:r>
        <w:rPr>
          <w:rFonts w:hint="eastAsia"/>
        </w:rPr>
        <w:fldChar w:fldCharType="begin"/>
      </w:r>
      <w:r>
        <w:rPr>
          <w:rFonts w:hint="eastAsia"/>
        </w:rPr>
        <w:instrText xml:space="preserve"> </w:instrText>
      </w:r>
      <w:r>
        <w:instrText xml:space="preserve">PAGEREF _Toc209090334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C860825">
      <w:pPr>
        <w:pStyle w:val="23"/>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"_Toc209090335" </w:instrText>
      </w:r>
      <w:r>
        <w:fldChar w:fldCharType="separate"/>
      </w:r>
      <w:r>
        <w:rPr>
          <w:rStyle w:val="37"/>
          <w:rFonts w:hint="eastAsia"/>
        </w:rPr>
        <w:t>5  计量性能要求</w:t>
      </w:r>
      <w:r>
        <w:rPr>
          <w:rFonts w:hint="eastAsia"/>
        </w:rPr>
        <w:tab/>
      </w:r>
      <w:r>
        <w:rPr>
          <w:rFonts w:hint="eastAsia"/>
        </w:rPr>
        <w:fldChar w:fldCharType="begin"/>
      </w:r>
      <w:r>
        <w:rPr>
          <w:rFonts w:hint="eastAsia"/>
        </w:rPr>
        <w:instrText xml:space="preserve"> </w:instrText>
      </w:r>
      <w:r>
        <w:instrText xml:space="preserve">PAGEREF _Toc209090335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CF327ED">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"_Toc209090336" </w:instrText>
      </w:r>
      <w:r>
        <w:fldChar w:fldCharType="separate"/>
      </w:r>
      <w:r>
        <w:rPr>
          <w:rStyle w:val="37"/>
          <w:rFonts w:hint="eastAsia"/>
        </w:rPr>
        <w:t>5.1  基本误差</w:t>
      </w:r>
      <w:r>
        <w:rPr>
          <w:rFonts w:hint="eastAsia"/>
        </w:rPr>
        <w:tab/>
      </w:r>
      <w:r>
        <w:rPr>
          <w:rFonts w:hint="eastAsia"/>
        </w:rPr>
        <w:fldChar w:fldCharType="begin"/>
      </w:r>
      <w:r>
        <w:rPr>
          <w:rFonts w:hint="eastAsia"/>
        </w:rPr>
        <w:instrText xml:space="preserve"> </w:instrText>
      </w:r>
      <w:r>
        <w:instrText xml:space="preserve">PAGEREF _Toc209090336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74FA54B">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"_Toc209090337" </w:instrText>
      </w:r>
      <w:r>
        <w:fldChar w:fldCharType="separate"/>
      </w:r>
      <w:r>
        <w:rPr>
          <w:rStyle w:val="37"/>
          <w:rFonts w:hint="eastAsia"/>
        </w:rPr>
        <w:t>5.2  无负载状态试验</w:t>
      </w:r>
      <w:r>
        <w:rPr>
          <w:rFonts w:hint="eastAsia"/>
        </w:rPr>
        <w:tab/>
      </w:r>
      <w:r>
        <w:rPr>
          <w:rFonts w:hint="eastAsia"/>
        </w:rPr>
        <w:fldChar w:fldCharType="begin"/>
      </w:r>
      <w:r>
        <w:rPr>
          <w:rFonts w:hint="eastAsia"/>
        </w:rPr>
        <w:instrText xml:space="preserve"> </w:instrText>
      </w:r>
      <w:r>
        <w:instrText xml:space="preserve">PAGEREF _Toc209090337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5852FDF">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"_Toc209090338" </w:instrText>
      </w:r>
      <w:r>
        <w:fldChar w:fldCharType="separate"/>
      </w:r>
      <w:r>
        <w:rPr>
          <w:rStyle w:val="37"/>
          <w:rFonts w:hint="eastAsia"/>
        </w:rPr>
        <w:t>5.3  起动</w:t>
      </w:r>
      <w:r>
        <w:rPr>
          <w:rFonts w:hint="eastAsia"/>
        </w:rPr>
        <w:tab/>
      </w:r>
      <w:r>
        <w:rPr>
          <w:rFonts w:hint="eastAsia"/>
        </w:rPr>
        <w:fldChar w:fldCharType="begin"/>
      </w:r>
      <w:r>
        <w:rPr>
          <w:rFonts w:hint="eastAsia"/>
        </w:rPr>
        <w:instrText xml:space="preserve"> </w:instrText>
      </w:r>
      <w:r>
        <w:instrText xml:space="preserve">PAGEREF _Toc209090338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18A6125">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"_Toc209090339" </w:instrText>
      </w:r>
      <w:r>
        <w:fldChar w:fldCharType="separate"/>
      </w:r>
      <w:r>
        <w:rPr>
          <w:rStyle w:val="37"/>
          <w:rFonts w:hint="eastAsia"/>
        </w:rPr>
        <w:t>5.4  仪表常数</w:t>
      </w:r>
      <w:r>
        <w:rPr>
          <w:rFonts w:hint="eastAsia"/>
        </w:rPr>
        <w:tab/>
      </w:r>
      <w:r>
        <w:rPr>
          <w:rFonts w:hint="eastAsia"/>
        </w:rPr>
        <w:fldChar w:fldCharType="begin"/>
      </w:r>
      <w:r>
        <w:rPr>
          <w:rFonts w:hint="eastAsia"/>
        </w:rPr>
        <w:instrText xml:space="preserve"> </w:instrText>
      </w:r>
      <w:r>
        <w:instrText xml:space="preserve">PAGEREF _Toc209090339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54BD87D4">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"_Toc209090340" </w:instrText>
      </w:r>
      <w:r>
        <w:fldChar w:fldCharType="separate"/>
      </w:r>
      <w:r>
        <w:rPr>
          <w:rStyle w:val="37"/>
          <w:rFonts w:hint="eastAsia"/>
        </w:rPr>
        <w:t>5.5  时间（时刻）示值误差</w:t>
      </w:r>
      <w:r>
        <w:rPr>
          <w:rFonts w:hint="eastAsia"/>
        </w:rPr>
        <w:tab/>
      </w:r>
      <w:r>
        <w:rPr>
          <w:rFonts w:hint="eastAsia"/>
        </w:rPr>
        <w:fldChar w:fldCharType="begin"/>
      </w:r>
      <w:r>
        <w:rPr>
          <w:rFonts w:hint="eastAsia"/>
        </w:rPr>
        <w:instrText xml:space="preserve"> </w:instrText>
      </w:r>
      <w:r>
        <w:instrText xml:space="preserve">PAGEREF _Toc209090340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0610C37C">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"_Toc209090341" </w:instrText>
      </w:r>
      <w:r>
        <w:fldChar w:fldCharType="separate"/>
      </w:r>
      <w:r>
        <w:rPr>
          <w:rStyle w:val="37"/>
          <w:rFonts w:hint="eastAsia"/>
        </w:rPr>
        <w:t>5.6  电能示值组合误差</w:t>
      </w:r>
      <w:r>
        <w:rPr>
          <w:rFonts w:hint="eastAsia"/>
        </w:rPr>
        <w:tab/>
      </w:r>
      <w:r>
        <w:rPr>
          <w:rFonts w:hint="eastAsia"/>
        </w:rPr>
        <w:fldChar w:fldCharType="begin"/>
      </w:r>
      <w:r>
        <w:rPr>
          <w:rFonts w:hint="eastAsia"/>
        </w:rPr>
        <w:instrText xml:space="preserve"> </w:instrText>
      </w:r>
      <w:r>
        <w:instrText xml:space="preserve">PAGEREF _Toc209090341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C281C00">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"_Toc209090342" </w:instrText>
      </w:r>
      <w:r>
        <w:fldChar w:fldCharType="separate"/>
      </w:r>
      <w:r>
        <w:rPr>
          <w:rStyle w:val="37"/>
          <w:rFonts w:hint="eastAsia"/>
        </w:rPr>
        <w:t>5.7  负载电流升降变差限值</w:t>
      </w:r>
      <w:r>
        <w:rPr>
          <w:rFonts w:hint="eastAsia"/>
        </w:rPr>
        <w:tab/>
      </w:r>
      <w:r>
        <w:rPr>
          <w:rFonts w:hint="eastAsia"/>
        </w:rPr>
        <w:fldChar w:fldCharType="begin"/>
      </w:r>
      <w:r>
        <w:rPr>
          <w:rFonts w:hint="eastAsia"/>
        </w:rPr>
        <w:instrText xml:space="preserve"> </w:instrText>
      </w:r>
      <w:r>
        <w:instrText xml:space="preserve">PAGEREF _Toc209090342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39C70F6E">
      <w:pPr>
        <w:pStyle w:val="23"/>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"_Toc209090343" </w:instrText>
      </w:r>
      <w:r>
        <w:fldChar w:fldCharType="separate"/>
      </w:r>
      <w:r>
        <w:rPr>
          <w:rStyle w:val="37"/>
          <w:rFonts w:hint="eastAsia"/>
        </w:rPr>
        <w:t>6  通用技术要求</w:t>
      </w:r>
      <w:r>
        <w:rPr>
          <w:rFonts w:hint="eastAsia"/>
        </w:rPr>
        <w:tab/>
      </w:r>
      <w:r>
        <w:rPr>
          <w:rFonts w:hint="eastAsia"/>
        </w:rPr>
        <w:fldChar w:fldCharType="begin"/>
      </w:r>
      <w:r>
        <w:rPr>
          <w:rFonts w:hint="eastAsia"/>
        </w:rPr>
        <w:instrText xml:space="preserve"> </w:instrText>
      </w:r>
      <w:r>
        <w:instrText xml:space="preserve">PAGEREF _Toc209090343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24A7CA3A">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"_Toc209090344" </w:instrText>
      </w:r>
      <w:r>
        <w:fldChar w:fldCharType="separate"/>
      </w:r>
      <w:r>
        <w:rPr>
          <w:rStyle w:val="37"/>
          <w:rFonts w:hint="eastAsia"/>
        </w:rPr>
        <w:t>6.1  标志</w:t>
      </w:r>
      <w:r>
        <w:rPr>
          <w:rFonts w:hint="eastAsia"/>
        </w:rPr>
        <w:tab/>
      </w:r>
      <w:r>
        <w:rPr>
          <w:rFonts w:hint="eastAsia"/>
        </w:rPr>
        <w:fldChar w:fldCharType="begin"/>
      </w:r>
      <w:r>
        <w:rPr>
          <w:rFonts w:hint="eastAsia"/>
        </w:rPr>
        <w:instrText xml:space="preserve"> </w:instrText>
      </w:r>
      <w:r>
        <w:instrText xml:space="preserve">PAGEREF _Toc209090344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5405CFB0">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"_Toc209090345" </w:instrText>
      </w:r>
      <w:r>
        <w:fldChar w:fldCharType="separate"/>
      </w:r>
      <w:r>
        <w:rPr>
          <w:rStyle w:val="37"/>
          <w:rFonts w:hint="eastAsia"/>
        </w:rPr>
        <w:t>6.2  绝缘电阻试验</w:t>
      </w:r>
      <w:r>
        <w:rPr>
          <w:rFonts w:hint="eastAsia"/>
        </w:rPr>
        <w:tab/>
      </w:r>
      <w:r>
        <w:rPr>
          <w:rFonts w:hint="eastAsia"/>
        </w:rPr>
        <w:fldChar w:fldCharType="begin"/>
      </w:r>
      <w:r>
        <w:rPr>
          <w:rFonts w:hint="eastAsia"/>
        </w:rPr>
        <w:instrText xml:space="preserve"> </w:instrText>
      </w:r>
      <w:r>
        <w:instrText xml:space="preserve">PAGEREF _Toc209090345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7DFD6AC0">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"_Toc209090346" </w:instrText>
      </w:r>
      <w:r>
        <w:fldChar w:fldCharType="separate"/>
      </w:r>
      <w:r>
        <w:rPr>
          <w:rStyle w:val="37"/>
          <w:rFonts w:hint="eastAsia"/>
        </w:rPr>
        <w:t>6.3  直流电压试验</w:t>
      </w:r>
      <w:r>
        <w:rPr>
          <w:rFonts w:hint="eastAsia"/>
        </w:rPr>
        <w:tab/>
      </w:r>
      <w:r>
        <w:rPr>
          <w:rFonts w:hint="eastAsia"/>
        </w:rPr>
        <w:fldChar w:fldCharType="begin"/>
      </w:r>
      <w:r>
        <w:rPr>
          <w:rFonts w:hint="eastAsia"/>
        </w:rPr>
        <w:instrText xml:space="preserve"> </w:instrText>
      </w:r>
      <w:r>
        <w:instrText xml:space="preserve">PAGEREF _Toc209090346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7DF54374">
      <w:pPr>
        <w:pStyle w:val="23"/>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"_Toc209090347" </w:instrText>
      </w:r>
      <w:r>
        <w:fldChar w:fldCharType="separate"/>
      </w:r>
      <w:r>
        <w:rPr>
          <w:rStyle w:val="37"/>
          <w:rFonts w:hint="eastAsia"/>
        </w:rPr>
        <w:t>7  计量器具控制</w:t>
      </w:r>
      <w:r>
        <w:rPr>
          <w:rFonts w:hint="eastAsia"/>
        </w:rPr>
        <w:tab/>
      </w:r>
      <w:r>
        <w:rPr>
          <w:rFonts w:hint="eastAsia"/>
        </w:rPr>
        <w:fldChar w:fldCharType="begin"/>
      </w:r>
      <w:r>
        <w:rPr>
          <w:rFonts w:hint="eastAsia"/>
        </w:rPr>
        <w:instrText xml:space="preserve"> </w:instrText>
      </w:r>
      <w:r>
        <w:instrText xml:space="preserve">PAGEREF _Toc209090347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4529B526">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"_Toc209090348" </w:instrText>
      </w:r>
      <w:r>
        <w:fldChar w:fldCharType="separate"/>
      </w:r>
      <w:r>
        <w:rPr>
          <w:rStyle w:val="37"/>
          <w:rFonts w:hint="eastAsia"/>
        </w:rPr>
        <w:t>7.1  首次检定、后续检定和使用中检查</w:t>
      </w:r>
      <w:r>
        <w:rPr>
          <w:rFonts w:hint="eastAsia"/>
        </w:rPr>
        <w:tab/>
      </w:r>
      <w:r>
        <w:rPr>
          <w:rFonts w:hint="eastAsia"/>
        </w:rPr>
        <w:fldChar w:fldCharType="begin"/>
      </w:r>
      <w:r>
        <w:rPr>
          <w:rFonts w:hint="eastAsia"/>
        </w:rPr>
        <w:instrText xml:space="preserve"> </w:instrText>
      </w:r>
      <w:r>
        <w:instrText xml:space="preserve">PAGEREF _Toc209090348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6C173DF5">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"_Toc209090349" </w:instrText>
      </w:r>
      <w:r>
        <w:fldChar w:fldCharType="separate"/>
      </w:r>
      <w:r>
        <w:rPr>
          <w:rStyle w:val="37"/>
          <w:rFonts w:hint="eastAsia"/>
        </w:rPr>
        <w:t>7.2  检定条件</w:t>
      </w:r>
      <w:r>
        <w:rPr>
          <w:rFonts w:hint="eastAsia"/>
        </w:rPr>
        <w:tab/>
      </w:r>
      <w:r>
        <w:rPr>
          <w:rFonts w:hint="eastAsia"/>
        </w:rPr>
        <w:fldChar w:fldCharType="begin"/>
      </w:r>
      <w:r>
        <w:rPr>
          <w:rFonts w:hint="eastAsia"/>
        </w:rPr>
        <w:instrText xml:space="preserve"> </w:instrText>
      </w:r>
      <w:r>
        <w:instrText xml:space="preserve">PAGEREF _Toc209090349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61E77901">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"_Toc209090351" </w:instrText>
      </w:r>
      <w:r>
        <w:fldChar w:fldCharType="separate"/>
      </w:r>
      <w:r>
        <w:rPr>
          <w:rStyle w:val="37"/>
          <w:rFonts w:hint="eastAsia"/>
        </w:rPr>
        <w:t>7.3  检定项目</w:t>
      </w:r>
      <w:r>
        <w:rPr>
          <w:rFonts w:hint="eastAsia"/>
        </w:rPr>
        <w:tab/>
      </w:r>
      <w:r>
        <w:rPr>
          <w:rFonts w:hint="eastAsia"/>
        </w:rPr>
        <w:fldChar w:fldCharType="begin"/>
      </w:r>
      <w:r>
        <w:rPr>
          <w:rFonts w:hint="eastAsia"/>
        </w:rPr>
        <w:instrText xml:space="preserve"> </w:instrText>
      </w:r>
      <w:r>
        <w:instrText xml:space="preserve">PAGEREF _Toc209090351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0819FAD3">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"_Toc209090352" </w:instrText>
      </w:r>
      <w:r>
        <w:fldChar w:fldCharType="separate"/>
      </w:r>
      <w:r>
        <w:rPr>
          <w:rStyle w:val="37"/>
          <w:rFonts w:hint="eastAsia"/>
        </w:rPr>
        <w:t>7.4  检定方法</w:t>
      </w:r>
      <w:r>
        <w:rPr>
          <w:rFonts w:hint="eastAsia"/>
        </w:rPr>
        <w:tab/>
      </w:r>
      <w:r>
        <w:rPr>
          <w:rFonts w:hint="eastAsia"/>
        </w:rPr>
        <w:fldChar w:fldCharType="begin"/>
      </w:r>
      <w:r>
        <w:rPr>
          <w:rFonts w:hint="eastAsia"/>
        </w:rPr>
        <w:instrText xml:space="preserve"> </w:instrText>
      </w:r>
      <w:r>
        <w:instrText xml:space="preserve">PAGEREF _Toc209090352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67B833DC">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"_Toc209090353" </w:instrText>
      </w:r>
      <w:r>
        <w:fldChar w:fldCharType="separate"/>
      </w:r>
      <w:r>
        <w:rPr>
          <w:rStyle w:val="37"/>
          <w:rFonts w:hint="eastAsia"/>
        </w:rPr>
        <w:t>7.5  检定结果的处理</w:t>
      </w:r>
      <w:r>
        <w:rPr>
          <w:rFonts w:hint="eastAsia"/>
        </w:rPr>
        <w:tab/>
      </w:r>
      <w:r>
        <w:rPr>
          <w:rFonts w:hint="eastAsia"/>
        </w:rPr>
        <w:fldChar w:fldCharType="begin"/>
      </w:r>
      <w:r>
        <w:rPr>
          <w:rFonts w:hint="eastAsia"/>
        </w:rPr>
        <w:instrText xml:space="preserve"> </w:instrText>
      </w:r>
      <w:r>
        <w:instrText xml:space="preserve">PAGEREF _Toc209090353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20AA7C81">
      <w:pPr>
        <w:pStyle w:val="28"/>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"_Toc209090354" </w:instrText>
      </w:r>
      <w:r>
        <w:fldChar w:fldCharType="separate"/>
      </w:r>
      <w:r>
        <w:rPr>
          <w:rStyle w:val="37"/>
          <w:rFonts w:hint="eastAsia"/>
        </w:rPr>
        <w:t>7.6  检定周期</w:t>
      </w:r>
      <w:r>
        <w:rPr>
          <w:rFonts w:hint="eastAsia"/>
        </w:rPr>
        <w:tab/>
      </w:r>
      <w:r>
        <w:rPr>
          <w:rFonts w:hint="eastAsia"/>
        </w:rPr>
        <w:fldChar w:fldCharType="begin"/>
      </w:r>
      <w:r>
        <w:rPr>
          <w:rFonts w:hint="eastAsia"/>
        </w:rPr>
        <w:instrText xml:space="preserve"> </w:instrText>
      </w:r>
      <w:r>
        <w:instrText xml:space="preserve">PAGEREF _Toc209090354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477724D3">
      <w:pPr>
        <w:pStyle w:val="23"/>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"_Toc209090355" </w:instrText>
      </w:r>
      <w:r>
        <w:fldChar w:fldCharType="separate"/>
      </w:r>
      <w:r>
        <w:rPr>
          <w:rStyle w:val="37"/>
          <w:rFonts w:hint="eastAsia" w:eastAsia="黑体"/>
        </w:rPr>
        <w:t>附录A检定接线图</w:t>
      </w:r>
      <w:r>
        <w:rPr>
          <w:rFonts w:hint="eastAsia"/>
        </w:rPr>
        <w:tab/>
      </w:r>
      <w:r>
        <w:rPr>
          <w:rFonts w:hint="eastAsia"/>
        </w:rPr>
        <w:fldChar w:fldCharType="begin"/>
      </w:r>
      <w:r>
        <w:rPr>
          <w:rFonts w:hint="eastAsia"/>
        </w:rPr>
        <w:instrText xml:space="preserve"> </w:instrText>
      </w:r>
      <w:r>
        <w:instrText xml:space="preserve">PAGEREF _Toc209090355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40CC82D3">
      <w:pPr>
        <w:pStyle w:val="23"/>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"_Toc209090356" </w:instrText>
      </w:r>
      <w:r>
        <w:fldChar w:fldCharType="separate"/>
      </w:r>
      <w:r>
        <w:rPr>
          <w:rStyle w:val="37"/>
          <w:rFonts w:hint="eastAsia" w:eastAsia="黑体"/>
        </w:rPr>
        <w:t>附录B检定原始记录格式</w:t>
      </w:r>
      <w:r>
        <w:rPr>
          <w:rFonts w:hint="eastAsia"/>
        </w:rPr>
        <w:tab/>
      </w:r>
      <w:r>
        <w:rPr>
          <w:rFonts w:hint="eastAsia"/>
        </w:rPr>
        <w:fldChar w:fldCharType="begin"/>
      </w:r>
      <w:r>
        <w:rPr>
          <w:rFonts w:hint="eastAsia"/>
        </w:rPr>
        <w:instrText xml:space="preserve"> </w:instrText>
      </w:r>
      <w:r>
        <w:instrText xml:space="preserve">PAGEREF _Toc209090356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00C3C022">
      <w:pPr>
        <w:pStyle w:val="23"/>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"_Toc209090357" </w:instrText>
      </w:r>
      <w:r>
        <w:fldChar w:fldCharType="separate"/>
      </w:r>
      <w:r>
        <w:rPr>
          <w:rStyle w:val="37"/>
          <w:rFonts w:hint="eastAsia" w:eastAsia="黑体"/>
        </w:rPr>
        <w:t>附录C 检定证书/检定结果通知书内页格式（第2页）</w:t>
      </w:r>
      <w:r>
        <w:rPr>
          <w:rFonts w:hint="eastAsia"/>
        </w:rPr>
        <w:tab/>
      </w:r>
      <w:r>
        <w:rPr>
          <w:rFonts w:hint="eastAsia"/>
        </w:rPr>
        <w:fldChar w:fldCharType="begin"/>
      </w:r>
      <w:r>
        <w:rPr>
          <w:rFonts w:hint="eastAsia"/>
        </w:rPr>
        <w:instrText xml:space="preserve"> </w:instrText>
      </w:r>
      <w:r>
        <w:instrText xml:space="preserve">PAGEREF _Toc209090357 \h</w:instrText>
      </w:r>
      <w:r>
        <w:rPr>
          <w:rFonts w:hint="eastAsia"/>
        </w:rPr>
        <w:instrText xml:space="preserve"> </w:instrText>
      </w:r>
      <w:r>
        <w:rPr>
          <w:rFonts w:hint="eastAsia"/>
        </w:rPr>
        <w:fldChar w:fldCharType="separate"/>
      </w:r>
      <w:r>
        <w:t>25</w:t>
      </w:r>
      <w:r>
        <w:rPr>
          <w:rFonts w:hint="eastAsia"/>
        </w:rPr>
        <w:fldChar w:fldCharType="end"/>
      </w:r>
      <w:r>
        <w:rPr>
          <w:rFonts w:hint="eastAsia"/>
        </w:rPr>
        <w:fldChar w:fldCharType="end"/>
      </w:r>
    </w:p>
    <w:p w14:paraId="70AE85E8">
      <w:pPr>
        <w:pStyle w:val="23"/>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"_Toc209090358" </w:instrText>
      </w:r>
      <w:r>
        <w:fldChar w:fldCharType="separate"/>
      </w:r>
      <w:r>
        <w:rPr>
          <w:rStyle w:val="37"/>
          <w:rFonts w:hint="eastAsia" w:eastAsia="黑体"/>
        </w:rPr>
        <w:t>附录D 检定证书/检定结果通知书检定结果页式样（第3页）</w:t>
      </w:r>
      <w:r>
        <w:rPr>
          <w:rFonts w:hint="eastAsia"/>
        </w:rPr>
        <w:tab/>
      </w:r>
      <w:r>
        <w:rPr>
          <w:rFonts w:hint="eastAsia"/>
        </w:rPr>
        <w:fldChar w:fldCharType="begin"/>
      </w:r>
      <w:r>
        <w:rPr>
          <w:rFonts w:hint="eastAsia"/>
        </w:rPr>
        <w:instrText xml:space="preserve"> </w:instrText>
      </w:r>
      <w:r>
        <w:instrText xml:space="preserve">PAGEREF _Toc209090358 \h</w:instrText>
      </w:r>
      <w:r>
        <w:rPr>
          <w:rFonts w:hint="eastAsia"/>
        </w:rPr>
        <w:instrText xml:space="preserve"> </w:instrText>
      </w:r>
      <w:r>
        <w:rPr>
          <w:rFonts w:hint="eastAsia"/>
        </w:rPr>
        <w:fldChar w:fldCharType="separate"/>
      </w:r>
      <w:r>
        <w:t>26</w:t>
      </w:r>
      <w:r>
        <w:rPr>
          <w:rFonts w:hint="eastAsia"/>
        </w:rPr>
        <w:fldChar w:fldCharType="end"/>
      </w:r>
      <w:r>
        <w:rPr>
          <w:rFonts w:hint="eastAsia"/>
        </w:rPr>
        <w:fldChar w:fldCharType="end"/>
      </w:r>
    </w:p>
    <w:p w14:paraId="747FB773">
      <w:pPr>
        <w:spacing w:line="360" w:lineRule="auto"/>
        <w:jc w:val="center"/>
        <w:rPr>
          <w:rFonts w:hint="eastAsia" w:ascii="宋体" w:hAnsi="宋体"/>
        </w:rPr>
      </w:pPr>
      <w:r>
        <w:rPr>
          <w:rFonts w:ascii="宋体" w:hAnsi="宋体"/>
        </w:rPr>
        <w:fldChar w:fldCharType="end"/>
      </w:r>
    </w:p>
    <w:p w14:paraId="62ADA346">
      <w:pPr>
        <w:pStyle w:val="31"/>
        <w:rPr>
          <w:rFonts w:hint="eastAsia" w:ascii="黑体" w:hAnsi="黑体" w:eastAsia="黑体"/>
          <w:sz w:val="52"/>
          <w:szCs w:val="52"/>
        </w:rPr>
      </w:pPr>
      <w:r>
        <w:rPr>
          <w:rFonts w:ascii="宋体" w:hAnsi="宋体"/>
        </w:rPr>
        <w:br w:type="page"/>
      </w:r>
      <w:bookmarkStart w:id="1" w:name="_Toc209090321"/>
      <w:r>
        <w:rPr>
          <w:rFonts w:hint="eastAsia" w:ascii="黑体" w:hAnsi="黑体" w:eastAsia="黑体"/>
          <w:sz w:val="52"/>
          <w:szCs w:val="52"/>
        </w:rPr>
        <w:t>引言</w:t>
      </w:r>
      <w:bookmarkEnd w:id="1"/>
    </w:p>
    <w:p w14:paraId="3A5D8EDE">
      <w:pPr>
        <w:spacing w:line="360" w:lineRule="auto"/>
        <w:ind w:firstLine="480" w:firstLineChars="200"/>
        <w:rPr>
          <w:sz w:val="24"/>
          <w:szCs w:val="24"/>
        </w:rPr>
      </w:pPr>
      <w:r>
        <w:rPr>
          <w:sz w:val="24"/>
          <w:szCs w:val="24"/>
        </w:rPr>
        <w:t>本规程依据JJF</w:t>
      </w:r>
      <w:r>
        <w:rPr>
          <w:rFonts w:hint="eastAsia"/>
          <w:sz w:val="24"/>
          <w:szCs w:val="24"/>
        </w:rPr>
        <w:t xml:space="preserve"> </w:t>
      </w:r>
      <w:r>
        <w:rPr>
          <w:sz w:val="24"/>
          <w:szCs w:val="24"/>
        </w:rPr>
        <w:t>1002-2010《国家计量检定规程编写规则》编制。</w:t>
      </w:r>
    </w:p>
    <w:p w14:paraId="323EBDB4">
      <w:pPr>
        <w:spacing w:line="360" w:lineRule="auto"/>
        <w:ind w:firstLine="480" w:firstLineChars="200"/>
        <w:rPr>
          <w:sz w:val="24"/>
          <w:szCs w:val="24"/>
        </w:rPr>
      </w:pPr>
      <w:r>
        <w:rPr>
          <w:sz w:val="24"/>
          <w:szCs w:val="24"/>
        </w:rPr>
        <w:t>本规程是在JJG 842-</w:t>
      </w:r>
      <w:r>
        <w:rPr>
          <w:rFonts w:hint="eastAsia"/>
          <w:sz w:val="24"/>
          <w:szCs w:val="24"/>
        </w:rPr>
        <w:t>2017</w:t>
      </w:r>
      <w:r>
        <w:rPr>
          <w:sz w:val="24"/>
          <w:szCs w:val="24"/>
        </w:rPr>
        <w:t>《</w:t>
      </w:r>
      <w:r>
        <w:rPr>
          <w:rFonts w:hint="eastAsia"/>
          <w:sz w:val="24"/>
          <w:szCs w:val="24"/>
        </w:rPr>
        <w:t>电子式</w:t>
      </w:r>
      <w:r>
        <w:rPr>
          <w:sz w:val="24"/>
          <w:szCs w:val="24"/>
        </w:rPr>
        <w:t>直流电能表》</w:t>
      </w:r>
      <w:r>
        <w:rPr>
          <w:rFonts w:hint="eastAsia"/>
          <w:sz w:val="24"/>
          <w:szCs w:val="24"/>
        </w:rPr>
        <w:t>基础上</w:t>
      </w:r>
      <w:r>
        <w:rPr>
          <w:sz w:val="24"/>
          <w:szCs w:val="24"/>
        </w:rPr>
        <w:t>进行修订的。与JJG 842-</w:t>
      </w:r>
      <w:r>
        <w:rPr>
          <w:rFonts w:hint="eastAsia"/>
          <w:sz w:val="24"/>
          <w:szCs w:val="24"/>
        </w:rPr>
        <w:t>2017</w:t>
      </w:r>
      <w:r>
        <w:rPr>
          <w:sz w:val="24"/>
          <w:szCs w:val="24"/>
        </w:rPr>
        <w:t>版本相比，本规程除编辑性修改外，有关技术部分的变化主要如下：</w:t>
      </w:r>
    </w:p>
    <w:p w14:paraId="20A68FB6">
      <w:pPr>
        <w:spacing w:line="360" w:lineRule="auto"/>
        <w:ind w:firstLine="480" w:firstLineChars="200"/>
        <w:rPr>
          <w:rFonts w:hint="eastAsia" w:ascii="宋体" w:hAnsi="宋体"/>
          <w:sz w:val="24"/>
        </w:rPr>
      </w:pPr>
      <w:r>
        <w:rPr>
          <w:rFonts w:hint="eastAsia" w:ascii="宋体" w:hAnsi="宋体"/>
          <w:sz w:val="24"/>
        </w:rPr>
        <w:t>本规程适用于电压不超过1500V的电子式（静止式）直流电能表的首次检定、后续检定和使用中检查；</w:t>
      </w:r>
    </w:p>
    <w:p w14:paraId="2CE8B755">
      <w:pPr>
        <w:spacing w:line="360" w:lineRule="auto"/>
        <w:ind w:firstLine="480" w:firstLineChars="200"/>
        <w:rPr>
          <w:sz w:val="24"/>
          <w:szCs w:val="24"/>
        </w:rPr>
      </w:pPr>
      <w:r>
        <w:rPr>
          <w:rFonts w:hint="eastAsia" w:ascii="宋体" w:hAnsi="宋体"/>
          <w:sz w:val="24"/>
        </w:rPr>
        <w:t>删除了2级电能表的要求；</w:t>
      </w:r>
    </w:p>
    <w:p w14:paraId="1DA83DBE">
      <w:pPr>
        <w:spacing w:line="360" w:lineRule="auto"/>
        <w:ind w:firstLine="480" w:firstLineChars="200"/>
        <w:rPr>
          <w:sz w:val="24"/>
          <w:szCs w:val="24"/>
        </w:rPr>
      </w:pPr>
      <w:r>
        <w:rPr>
          <w:rFonts w:hint="eastAsia"/>
          <w:sz w:val="24"/>
          <w:szCs w:val="24"/>
        </w:rPr>
        <w:t>修改了直接接入电能表和间接接入电能表的术语；</w:t>
      </w:r>
    </w:p>
    <w:p w14:paraId="3DE39E0B">
      <w:pPr>
        <w:spacing w:line="360" w:lineRule="auto"/>
        <w:ind w:firstLine="480" w:firstLineChars="200"/>
        <w:rPr>
          <w:sz w:val="24"/>
          <w:szCs w:val="24"/>
        </w:rPr>
      </w:pPr>
      <w:r>
        <w:rPr>
          <w:rFonts w:hint="eastAsia"/>
          <w:sz w:val="24"/>
          <w:szCs w:val="24"/>
        </w:rPr>
        <w:t>增加了电压端间接接入电能表和电流电压端间接接入电能表原理结构框图；</w:t>
      </w:r>
    </w:p>
    <w:p w14:paraId="2AEA408C">
      <w:pPr>
        <w:spacing w:line="360" w:lineRule="auto"/>
        <w:ind w:firstLine="480" w:firstLineChars="200"/>
        <w:rPr>
          <w:sz w:val="24"/>
          <w:szCs w:val="24"/>
        </w:rPr>
      </w:pPr>
      <w:r>
        <w:rPr>
          <w:rFonts w:hint="eastAsia"/>
          <w:sz w:val="24"/>
          <w:szCs w:val="24"/>
        </w:rPr>
        <w:t>增加了</w:t>
      </w:r>
      <w:r>
        <w:rPr>
          <w:rFonts w:hint="eastAsia" w:hAnsi="宋体"/>
          <w:i/>
          <w:szCs w:val="18"/>
          <w:lang w:val="fr-FR"/>
        </w:rPr>
        <w:t>I</w:t>
      </w:r>
      <w:r>
        <w:rPr>
          <w:rFonts w:hint="eastAsia" w:hAnsi="宋体"/>
          <w:szCs w:val="18"/>
          <w:vertAlign w:val="subscript"/>
          <w:lang w:val="fr-FR"/>
        </w:rPr>
        <w:t>st</w:t>
      </w:r>
      <w:r>
        <w:rPr>
          <w:rFonts w:hint="eastAsia" w:hAnsi="宋体"/>
          <w:szCs w:val="18"/>
          <w:lang w:val="fr-FR"/>
        </w:rPr>
        <w:t>≤</w:t>
      </w:r>
      <w:r>
        <w:rPr>
          <w:rFonts w:hint="eastAsia" w:hAnsi="宋体"/>
          <w:i/>
          <w:szCs w:val="18"/>
          <w:lang w:val="fr-FR"/>
        </w:rPr>
        <w:t>I</w:t>
      </w:r>
      <w:r>
        <w:rPr>
          <w:rFonts w:hint="eastAsia" w:hAnsi="宋体"/>
          <w:szCs w:val="18"/>
          <w:lang w:val="fr-FR"/>
        </w:rPr>
        <w:t>＜</w:t>
      </w:r>
      <w:r>
        <w:rPr>
          <w:rFonts w:hint="eastAsia" w:hAnsi="宋体"/>
          <w:i/>
          <w:szCs w:val="18"/>
          <w:lang w:val="fr-FR"/>
        </w:rPr>
        <w:t>I</w:t>
      </w:r>
      <w:r>
        <w:rPr>
          <w:rFonts w:hint="eastAsia" w:hAnsi="宋体"/>
          <w:szCs w:val="18"/>
          <w:vertAlign w:val="subscript"/>
          <w:lang w:val="fr-FR"/>
        </w:rPr>
        <w:t>min</w:t>
      </w:r>
      <w:r>
        <w:rPr>
          <w:rFonts w:hint="eastAsia"/>
          <w:sz w:val="24"/>
          <w:szCs w:val="24"/>
        </w:rPr>
        <w:t>的基本误差限值要求；</w:t>
      </w:r>
    </w:p>
    <w:p w14:paraId="7D82E4FE">
      <w:pPr>
        <w:spacing w:line="360" w:lineRule="auto"/>
        <w:ind w:firstLine="480" w:firstLineChars="200"/>
        <w:rPr>
          <w:sz w:val="24"/>
          <w:szCs w:val="24"/>
        </w:rPr>
      </w:pPr>
      <w:r>
        <w:rPr>
          <w:rFonts w:hint="eastAsia"/>
          <w:sz w:val="24"/>
          <w:szCs w:val="24"/>
        </w:rPr>
        <w:t>修改了潜动试验，名称修改为无负载状态试验，修改了试验电压值和试验方法；</w:t>
      </w:r>
    </w:p>
    <w:p w14:paraId="659FB69F">
      <w:pPr>
        <w:spacing w:line="360" w:lineRule="auto"/>
        <w:ind w:firstLine="480" w:firstLineChars="200"/>
        <w:rPr>
          <w:sz w:val="24"/>
          <w:szCs w:val="24"/>
        </w:rPr>
      </w:pPr>
      <w:r>
        <w:rPr>
          <w:rFonts w:hint="eastAsia"/>
          <w:sz w:val="24"/>
          <w:szCs w:val="24"/>
        </w:rPr>
        <w:t>修改了起动试验，包括起动电流值和试验方法；</w:t>
      </w:r>
    </w:p>
    <w:p w14:paraId="103C9712">
      <w:pPr>
        <w:spacing w:line="360" w:lineRule="auto"/>
        <w:ind w:firstLine="480" w:firstLineChars="200"/>
        <w:rPr>
          <w:sz w:val="24"/>
          <w:szCs w:val="24"/>
        </w:rPr>
      </w:pPr>
      <w:r>
        <w:rPr>
          <w:rFonts w:hint="eastAsia"/>
          <w:sz w:val="24"/>
          <w:szCs w:val="24"/>
        </w:rPr>
        <w:t>修改了时钟日计时误差试验，增加了时刻值的误差要求、标准时钟测试仪的时刻要求和试验方法；</w:t>
      </w:r>
    </w:p>
    <w:p w14:paraId="00CB011B">
      <w:pPr>
        <w:spacing w:line="360" w:lineRule="auto"/>
        <w:ind w:firstLine="480" w:firstLineChars="200"/>
        <w:rPr>
          <w:sz w:val="24"/>
          <w:szCs w:val="24"/>
        </w:rPr>
      </w:pPr>
      <w:r>
        <w:rPr>
          <w:rFonts w:hint="eastAsia"/>
          <w:sz w:val="24"/>
          <w:szCs w:val="24"/>
        </w:rPr>
        <w:t>增加了电能示值组合误差试验和试验方法；</w:t>
      </w:r>
    </w:p>
    <w:p w14:paraId="4B26EA02">
      <w:pPr>
        <w:spacing w:line="360" w:lineRule="auto"/>
        <w:ind w:firstLine="480" w:firstLineChars="200"/>
        <w:rPr>
          <w:sz w:val="24"/>
          <w:szCs w:val="24"/>
        </w:rPr>
      </w:pPr>
      <w:r>
        <w:rPr>
          <w:rFonts w:hint="eastAsia"/>
          <w:sz w:val="24"/>
          <w:szCs w:val="24"/>
        </w:rPr>
        <w:t>增加了负载电流升降变差试验和试验方法；</w:t>
      </w:r>
    </w:p>
    <w:p w14:paraId="0BD4EC38">
      <w:pPr>
        <w:spacing w:line="360" w:lineRule="auto"/>
        <w:ind w:firstLine="480" w:firstLineChars="200"/>
        <w:rPr>
          <w:sz w:val="24"/>
          <w:szCs w:val="24"/>
        </w:rPr>
      </w:pPr>
      <w:r>
        <w:rPr>
          <w:rFonts w:hint="eastAsia"/>
          <w:sz w:val="24"/>
          <w:szCs w:val="24"/>
        </w:rPr>
        <w:t>修改了铭牌的标志内容；</w:t>
      </w:r>
    </w:p>
    <w:p w14:paraId="0A946FAD">
      <w:pPr>
        <w:spacing w:line="360" w:lineRule="auto"/>
        <w:ind w:firstLine="480" w:firstLineChars="200"/>
        <w:rPr>
          <w:sz w:val="24"/>
          <w:szCs w:val="24"/>
        </w:rPr>
      </w:pPr>
      <w:r>
        <w:rPr>
          <w:rFonts w:hint="eastAsia"/>
          <w:sz w:val="24"/>
          <w:szCs w:val="24"/>
        </w:rPr>
        <w:t>修改了绝缘电阻试验；</w:t>
      </w:r>
    </w:p>
    <w:p w14:paraId="252CA99F">
      <w:pPr>
        <w:spacing w:line="360" w:lineRule="auto"/>
        <w:ind w:firstLine="480" w:firstLineChars="200"/>
        <w:rPr>
          <w:sz w:val="24"/>
          <w:szCs w:val="24"/>
        </w:rPr>
      </w:pPr>
      <w:r>
        <w:rPr>
          <w:rFonts w:hint="eastAsia"/>
          <w:sz w:val="24"/>
          <w:szCs w:val="24"/>
        </w:rPr>
        <w:t>删除了交流工频电压试验，增加了直流电压试验和直流电压试验仪（装置）的技术要求；</w:t>
      </w:r>
    </w:p>
    <w:p w14:paraId="145E7F27">
      <w:pPr>
        <w:spacing w:line="360" w:lineRule="auto"/>
        <w:ind w:firstLine="480" w:firstLineChars="200"/>
        <w:rPr>
          <w:sz w:val="24"/>
          <w:szCs w:val="24"/>
        </w:rPr>
      </w:pPr>
      <w:r>
        <w:rPr>
          <w:rFonts w:hint="eastAsia"/>
          <w:sz w:val="24"/>
          <w:szCs w:val="24"/>
        </w:rPr>
        <w:t>修改了参比条件；</w:t>
      </w:r>
    </w:p>
    <w:p w14:paraId="2C1C11EC">
      <w:pPr>
        <w:spacing w:line="360" w:lineRule="auto"/>
        <w:ind w:firstLine="480" w:firstLineChars="200"/>
        <w:rPr>
          <w:sz w:val="24"/>
          <w:szCs w:val="24"/>
        </w:rPr>
      </w:pPr>
      <w:r>
        <w:rPr>
          <w:rFonts w:hint="eastAsia"/>
          <w:sz w:val="24"/>
          <w:szCs w:val="24"/>
        </w:rPr>
        <w:t>修改了检定装置的监视示值的误差限；</w:t>
      </w:r>
    </w:p>
    <w:p w14:paraId="532F00E1">
      <w:pPr>
        <w:spacing w:line="360" w:lineRule="auto"/>
        <w:ind w:firstLine="480" w:firstLineChars="200"/>
        <w:rPr>
          <w:sz w:val="24"/>
          <w:szCs w:val="24"/>
        </w:rPr>
      </w:pPr>
      <w:r>
        <w:rPr>
          <w:rFonts w:hint="eastAsia"/>
          <w:sz w:val="24"/>
          <w:szCs w:val="24"/>
        </w:rPr>
        <w:t>修改了基本误差检定要求和负载点；</w:t>
      </w:r>
    </w:p>
    <w:p w14:paraId="14EBA643">
      <w:pPr>
        <w:spacing w:line="360" w:lineRule="auto"/>
        <w:ind w:firstLine="480" w:firstLineChars="200"/>
        <w:rPr>
          <w:sz w:val="24"/>
          <w:szCs w:val="24"/>
        </w:rPr>
      </w:pPr>
      <w:r>
        <w:rPr>
          <w:rFonts w:hint="eastAsia"/>
          <w:sz w:val="24"/>
          <w:szCs w:val="24"/>
        </w:rPr>
        <w:t>修改了仪表常数试验的计读脉冲法；</w:t>
      </w:r>
    </w:p>
    <w:p w14:paraId="55901D60">
      <w:pPr>
        <w:spacing w:line="360" w:lineRule="auto"/>
        <w:ind w:firstLine="480" w:firstLineChars="200"/>
        <w:rPr>
          <w:sz w:val="24"/>
          <w:szCs w:val="24"/>
        </w:rPr>
      </w:pPr>
      <w:r>
        <w:rPr>
          <w:rFonts w:hint="eastAsia"/>
          <w:sz w:val="24"/>
          <w:szCs w:val="24"/>
        </w:rPr>
        <w:t>增加了时间（时刻）示值误差的修约间距；</w:t>
      </w:r>
    </w:p>
    <w:p w14:paraId="10E4A2F0">
      <w:pPr>
        <w:spacing w:line="360" w:lineRule="auto"/>
        <w:ind w:firstLine="480" w:firstLineChars="200"/>
        <w:rPr>
          <w:sz w:val="24"/>
          <w:szCs w:val="24"/>
        </w:rPr>
      </w:pPr>
      <w:r>
        <w:rPr>
          <w:rFonts w:hint="eastAsia"/>
          <w:sz w:val="24"/>
          <w:szCs w:val="24"/>
        </w:rPr>
        <w:t>修改了检定周期的内容。</w:t>
      </w:r>
    </w:p>
    <w:p w14:paraId="4B095F3C">
      <w:pPr>
        <w:spacing w:line="360" w:lineRule="auto"/>
        <w:ind w:firstLine="480" w:firstLineChars="200"/>
        <w:rPr>
          <w:rFonts w:hint="eastAsia" w:ascii="宋体" w:hAnsi="宋体"/>
          <w:sz w:val="24"/>
          <w:szCs w:val="24"/>
        </w:rPr>
      </w:pPr>
      <w:r>
        <w:rPr>
          <w:rFonts w:ascii="宋体" w:hAnsi="宋体"/>
          <w:sz w:val="24"/>
          <w:szCs w:val="24"/>
        </w:rPr>
        <w:t>所替代规程的历次版本发布情况如下：</w:t>
      </w:r>
    </w:p>
    <w:p w14:paraId="2D8AA401">
      <w:pPr>
        <w:spacing w:line="360" w:lineRule="auto"/>
        <w:ind w:firstLine="480" w:firstLineChars="200"/>
        <w:rPr>
          <w:rFonts w:hint="eastAsia" w:ascii="宋体" w:hAnsi="宋体"/>
          <w:sz w:val="24"/>
          <w:szCs w:val="24"/>
        </w:rPr>
      </w:pPr>
      <w:r>
        <w:rPr>
          <w:sz w:val="24"/>
          <w:szCs w:val="24"/>
        </w:rPr>
        <w:t>JJG 842-</w:t>
      </w:r>
      <w:r>
        <w:rPr>
          <w:rFonts w:hint="eastAsia"/>
          <w:sz w:val="24"/>
          <w:szCs w:val="24"/>
        </w:rPr>
        <w:t>2017</w:t>
      </w:r>
      <w:r>
        <w:rPr>
          <w:sz w:val="24"/>
          <w:szCs w:val="24"/>
        </w:rPr>
        <w:t>《</w:t>
      </w:r>
      <w:r>
        <w:rPr>
          <w:rFonts w:hint="eastAsia"/>
          <w:sz w:val="24"/>
          <w:szCs w:val="24"/>
        </w:rPr>
        <w:t>电子式</w:t>
      </w:r>
      <w:r>
        <w:rPr>
          <w:sz w:val="24"/>
          <w:szCs w:val="24"/>
        </w:rPr>
        <w:t>直流电能表》</w:t>
      </w:r>
    </w:p>
    <w:p w14:paraId="41976B32">
      <w:pPr>
        <w:spacing w:line="360" w:lineRule="auto"/>
        <w:ind w:firstLine="480" w:firstLineChars="200"/>
        <w:rPr>
          <w:rFonts w:hint="eastAsia" w:ascii="宋体" w:hAnsi="宋体"/>
          <w:sz w:val="24"/>
          <w:szCs w:val="24"/>
        </w:rPr>
      </w:pPr>
      <w:r>
        <w:rPr>
          <w:sz w:val="24"/>
          <w:szCs w:val="24"/>
        </w:rPr>
        <w:t>JJG 842-1993《直流电能表》</w:t>
      </w:r>
    </w:p>
    <w:p w14:paraId="68F8344E">
      <w:pPr>
        <w:spacing w:line="360" w:lineRule="auto"/>
        <w:ind w:firstLine="480" w:firstLineChars="200"/>
        <w:rPr>
          <w:rFonts w:hint="eastAsia" w:ascii="宋体" w:hAnsi="宋体"/>
          <w:sz w:val="24"/>
          <w:szCs w:val="24"/>
        </w:rPr>
      </w:pPr>
    </w:p>
    <w:p w14:paraId="14FB77B2">
      <w:pPr>
        <w:spacing w:line="360" w:lineRule="auto"/>
        <w:ind w:firstLine="480" w:firstLineChars="200"/>
        <w:rPr>
          <w:rFonts w:hint="eastAsia" w:ascii="宋体" w:hAnsi="宋体"/>
          <w:sz w:val="24"/>
          <w:szCs w:val="24"/>
        </w:rPr>
      </w:pPr>
    </w:p>
    <w:p w14:paraId="0E2B9599">
      <w:pPr>
        <w:spacing w:line="300" w:lineRule="auto"/>
        <w:rPr>
          <w:rFonts w:hint="eastAsia" w:ascii="宋体" w:hAnsi="宋体"/>
          <w:b/>
          <w:sz w:val="24"/>
          <w:szCs w:val="24"/>
        </w:rPr>
      </w:pPr>
    </w:p>
    <w:p w14:paraId="3916CF52">
      <w:pPr>
        <w:spacing w:line="300" w:lineRule="auto"/>
        <w:rPr>
          <w:rFonts w:hint="eastAsia" w:ascii="宋体" w:hAnsi="宋体"/>
          <w:b/>
          <w:sz w:val="24"/>
          <w:szCs w:val="24"/>
        </w:rPr>
        <w:sectPr>
          <w:footerReference r:id="rId8" w:type="default"/>
          <w:pgSz w:w="11906" w:h="16838"/>
          <w:pgMar w:top="1985" w:right="1134" w:bottom="1418" w:left="1418" w:header="1418" w:footer="1304" w:gutter="0"/>
          <w:pgNumType w:fmt="upperRoman" w:start="1"/>
          <w:cols w:space="425" w:num="1"/>
          <w:docGrid w:type="linesAndChars" w:linePitch="312" w:charSpace="0"/>
        </w:sectPr>
      </w:pPr>
    </w:p>
    <w:p w14:paraId="3B1C543B">
      <w:pPr>
        <w:spacing w:line="360" w:lineRule="auto"/>
        <w:jc w:val="center"/>
        <w:rPr>
          <w:rFonts w:hint="eastAsia" w:ascii="黑体" w:hAnsi="宋体" w:eastAsia="黑体"/>
          <w:sz w:val="32"/>
        </w:rPr>
      </w:pPr>
      <w:r>
        <w:rPr>
          <w:rFonts w:hint="eastAsia" w:ascii="黑体" w:hAnsi="宋体" w:eastAsia="黑体"/>
          <w:sz w:val="32"/>
        </w:rPr>
        <w:t>电子式直流电能表检定规程</w:t>
      </w:r>
    </w:p>
    <w:p w14:paraId="48D8344C">
      <w:pPr>
        <w:spacing w:line="360" w:lineRule="auto"/>
        <w:jc w:val="center"/>
        <w:rPr>
          <w:rFonts w:eastAsia="黑体"/>
          <w:sz w:val="32"/>
          <w:szCs w:val="36"/>
        </w:rPr>
      </w:pPr>
    </w:p>
    <w:p w14:paraId="295B31C9">
      <w:pPr>
        <w:pStyle w:val="2"/>
      </w:pPr>
      <w:bookmarkStart w:id="2" w:name="_Toc209090322"/>
      <w:r>
        <w:rPr>
          <w:rFonts w:hint="eastAsia"/>
        </w:rPr>
        <w:t>1  范围</w:t>
      </w:r>
      <w:bookmarkEnd w:id="2"/>
    </w:p>
    <w:p w14:paraId="2A91AE42">
      <w:pPr>
        <w:pStyle w:val="19"/>
        <w:adjustRightInd w:val="0"/>
        <w:snapToGrid w:val="0"/>
        <w:spacing w:after="0" w:line="360" w:lineRule="auto"/>
        <w:ind w:left="0" w:leftChars="0" w:firstLine="480" w:firstLineChars="200"/>
        <w:jc w:val="left"/>
        <w:rPr>
          <w:rFonts w:hint="eastAsia" w:ascii="宋体" w:hAnsi="宋体"/>
          <w:sz w:val="24"/>
        </w:rPr>
      </w:pPr>
      <w:r>
        <w:rPr>
          <w:rFonts w:hint="eastAsia" w:ascii="宋体" w:hAnsi="宋体"/>
          <w:sz w:val="24"/>
        </w:rPr>
        <w:t>本规程适用于电压不超过1500V的电子式（静止式）直流电能表的首次检定、后续检定和使用中检查。</w:t>
      </w:r>
    </w:p>
    <w:p w14:paraId="31D6E355">
      <w:pPr>
        <w:pStyle w:val="19"/>
        <w:adjustRightInd w:val="0"/>
        <w:snapToGrid w:val="0"/>
        <w:spacing w:after="0" w:line="360" w:lineRule="auto"/>
        <w:ind w:left="0" w:leftChars="0" w:firstLine="480" w:firstLineChars="200"/>
        <w:jc w:val="left"/>
        <w:rPr>
          <w:rFonts w:hint="eastAsia" w:hAnsi="宋体"/>
          <w:sz w:val="24"/>
        </w:rPr>
      </w:pPr>
      <w:r>
        <w:rPr>
          <w:rFonts w:hint="eastAsia" w:hAnsi="宋体"/>
          <w:sz w:val="24"/>
        </w:rPr>
        <w:t>对于具有其他功能的电能表，其相同的检定项目执行本规程。</w:t>
      </w:r>
    </w:p>
    <w:p w14:paraId="1BDC070D">
      <w:pPr>
        <w:pStyle w:val="19"/>
        <w:adjustRightInd w:val="0"/>
        <w:snapToGrid w:val="0"/>
        <w:spacing w:after="0" w:line="360" w:lineRule="auto"/>
        <w:ind w:left="0" w:leftChars="0" w:firstLine="480" w:firstLineChars="200"/>
        <w:jc w:val="left"/>
        <w:rPr>
          <w:rFonts w:hint="eastAsia" w:ascii="宋体" w:hAnsi="宋体"/>
          <w:sz w:val="24"/>
        </w:rPr>
      </w:pPr>
      <w:r>
        <w:rPr>
          <w:rFonts w:hint="eastAsia" w:ascii="宋体" w:hAnsi="宋体"/>
          <w:sz w:val="24"/>
        </w:rPr>
        <w:t>不适用于直流标准电能表、用于轨道机车、车辆、船舶和飞机的直流电能表的检定。</w:t>
      </w:r>
    </w:p>
    <w:p w14:paraId="63074906">
      <w:pPr>
        <w:pStyle w:val="19"/>
        <w:adjustRightInd w:val="0"/>
        <w:snapToGrid w:val="0"/>
        <w:spacing w:after="0" w:line="360" w:lineRule="auto"/>
        <w:ind w:left="0" w:leftChars="0" w:firstLine="480" w:firstLineChars="200"/>
        <w:jc w:val="left"/>
        <w:rPr>
          <w:rFonts w:hint="eastAsia" w:ascii="宋体" w:hAnsi="宋体"/>
          <w:sz w:val="24"/>
        </w:rPr>
      </w:pPr>
    </w:p>
    <w:p w14:paraId="29895A13">
      <w:pPr>
        <w:pStyle w:val="2"/>
      </w:pPr>
      <w:bookmarkStart w:id="3" w:name="_Toc209090323"/>
      <w:r>
        <w:rPr>
          <w:rFonts w:hint="eastAsia"/>
        </w:rPr>
        <w:t>2  引用文件</w:t>
      </w:r>
      <w:bookmarkEnd w:id="3"/>
    </w:p>
    <w:p w14:paraId="6D95AA13">
      <w:pPr>
        <w:spacing w:line="360" w:lineRule="auto"/>
        <w:ind w:firstLine="480" w:firstLineChars="200"/>
        <w:rPr>
          <w:sz w:val="24"/>
          <w:szCs w:val="24"/>
        </w:rPr>
      </w:pPr>
      <w:r>
        <w:rPr>
          <w:rFonts w:hint="eastAsia"/>
          <w:sz w:val="24"/>
          <w:szCs w:val="24"/>
        </w:rPr>
        <w:t>本规程引用下列文件：</w:t>
      </w:r>
    </w:p>
    <w:p w14:paraId="4920D106">
      <w:pPr>
        <w:pStyle w:val="50"/>
        <w:spacing w:line="360" w:lineRule="auto"/>
        <w:ind w:firstLine="480"/>
        <w:rPr>
          <w:rFonts w:ascii="Times New Roman"/>
          <w:kern w:val="2"/>
          <w:sz w:val="24"/>
        </w:rPr>
      </w:pPr>
      <w:r>
        <w:rPr>
          <w:rFonts w:hint="eastAsia" w:ascii="Times New Roman"/>
          <w:kern w:val="2"/>
          <w:sz w:val="24"/>
        </w:rPr>
        <w:t>GB/T 33708.1 直流电能测量设备 第1部分：通用要求</w:t>
      </w:r>
    </w:p>
    <w:p w14:paraId="24D2DCBB">
      <w:pPr>
        <w:pStyle w:val="50"/>
        <w:spacing w:line="360" w:lineRule="auto"/>
        <w:ind w:firstLine="480"/>
        <w:rPr>
          <w:rFonts w:ascii="Times New Roman"/>
          <w:kern w:val="2"/>
          <w:sz w:val="24"/>
        </w:rPr>
      </w:pPr>
      <w:r>
        <w:rPr>
          <w:rFonts w:hint="eastAsia" w:ascii="Times New Roman"/>
          <w:kern w:val="2"/>
          <w:sz w:val="24"/>
        </w:rPr>
        <w:t>GB/T 33708.2 直流电能测量设备 第2部分：间接接入静止式电能表（0.2级、0.5级和1级）</w:t>
      </w:r>
    </w:p>
    <w:p w14:paraId="767B5603">
      <w:pPr>
        <w:pStyle w:val="50"/>
        <w:spacing w:line="360" w:lineRule="auto"/>
        <w:ind w:firstLine="480"/>
        <w:rPr>
          <w:rFonts w:ascii="Times New Roman"/>
          <w:kern w:val="2"/>
          <w:sz w:val="24"/>
        </w:rPr>
      </w:pPr>
      <w:r>
        <w:rPr>
          <w:rFonts w:hint="eastAsia" w:ascii="Times New Roman"/>
          <w:kern w:val="2"/>
          <w:sz w:val="24"/>
        </w:rPr>
        <w:t>GB/T 33708.3 直流电能测量设备 第3部分：直接接入静止式电能表（0.5级和1级）</w:t>
      </w:r>
    </w:p>
    <w:p w14:paraId="788A9CE5">
      <w:pPr>
        <w:pStyle w:val="50"/>
        <w:spacing w:line="360" w:lineRule="auto"/>
        <w:ind w:firstLine="480"/>
        <w:rPr>
          <w:rFonts w:ascii="Times New Roman"/>
          <w:kern w:val="2"/>
          <w:sz w:val="24"/>
        </w:rPr>
      </w:pPr>
      <w:r>
        <w:rPr>
          <w:rFonts w:hint="eastAsia" w:ascii="Times New Roman"/>
          <w:kern w:val="2"/>
          <w:sz w:val="24"/>
        </w:rPr>
        <w:t>JJG 596 安装式交流电能表</w:t>
      </w:r>
    </w:p>
    <w:p w14:paraId="0EC8B2FA">
      <w:pPr>
        <w:pStyle w:val="50"/>
        <w:spacing w:line="360" w:lineRule="auto"/>
        <w:ind w:firstLine="480"/>
        <w:rPr>
          <w:rFonts w:ascii="Times New Roman"/>
          <w:kern w:val="2"/>
          <w:sz w:val="24"/>
        </w:rPr>
      </w:pPr>
      <w:r>
        <w:rPr>
          <w:rFonts w:hint="eastAsia" w:ascii="Times New Roman"/>
          <w:kern w:val="2"/>
          <w:sz w:val="24"/>
        </w:rPr>
        <w:t>JJG 1186-2022 直流电能表检定装置</w:t>
      </w:r>
    </w:p>
    <w:p w14:paraId="21AA85AD">
      <w:pPr>
        <w:spacing w:line="360" w:lineRule="auto"/>
        <w:ind w:firstLine="200"/>
        <w:rPr>
          <w:sz w:val="24"/>
          <w:szCs w:val="24"/>
        </w:rPr>
      </w:pPr>
      <w:r>
        <w:rPr>
          <w:rFonts w:hint="eastAsia"/>
          <w:sz w:val="24"/>
          <w:szCs w:val="24"/>
        </w:rPr>
        <w:t>凡是注日期的引用文件，仅注日期的版本适用于本规程；凡是不注日期的引用文件，其最新版本（包括所有的修改单）适用于本规程。</w:t>
      </w:r>
    </w:p>
    <w:p w14:paraId="25D7118B">
      <w:pPr>
        <w:spacing w:line="360" w:lineRule="auto"/>
        <w:ind w:firstLine="480"/>
        <w:rPr>
          <w:sz w:val="24"/>
          <w:szCs w:val="24"/>
        </w:rPr>
      </w:pPr>
    </w:p>
    <w:p w14:paraId="46C8D737">
      <w:pPr>
        <w:pStyle w:val="2"/>
      </w:pPr>
      <w:bookmarkStart w:id="4" w:name="_Toc209090324"/>
      <w:r>
        <w:rPr>
          <w:rFonts w:hint="eastAsia"/>
        </w:rPr>
        <w:t>3  术语</w:t>
      </w:r>
      <w:bookmarkEnd w:id="4"/>
    </w:p>
    <w:p w14:paraId="21F52B07">
      <w:pPr>
        <w:pStyle w:val="50"/>
        <w:spacing w:line="360" w:lineRule="auto"/>
        <w:ind w:firstLine="480"/>
        <w:rPr>
          <w:rFonts w:hint="eastAsia" w:hAnsi="宋体"/>
          <w:sz w:val="24"/>
          <w:szCs w:val="24"/>
        </w:rPr>
      </w:pPr>
      <w:r>
        <w:rPr>
          <w:rFonts w:hint="eastAsia" w:hAnsi="宋体"/>
          <w:sz w:val="24"/>
          <w:szCs w:val="24"/>
        </w:rPr>
        <w:t>下列术语和定义适用于本文件。</w:t>
      </w:r>
    </w:p>
    <w:p w14:paraId="55808169">
      <w:pPr>
        <w:pStyle w:val="3"/>
        <w:rPr>
          <w:rFonts w:hint="eastAsia"/>
        </w:rPr>
      </w:pPr>
      <w:bookmarkStart w:id="5" w:name="_Toc209090325"/>
      <w:r>
        <w:rPr>
          <w:rFonts w:ascii="Times New Roman" w:hAnsi="Times New Roman"/>
        </w:rPr>
        <w:t>3.1</w:t>
      </w:r>
      <w:r>
        <w:t xml:space="preserve"> </w:t>
      </w:r>
      <w:r>
        <w:rPr>
          <w:rFonts w:hint="eastAsia"/>
        </w:rPr>
        <w:t xml:space="preserve"> </w:t>
      </w:r>
      <w:r>
        <w:t xml:space="preserve">直接接入电能表 </w:t>
      </w:r>
      <w:r>
        <w:rPr>
          <w:rFonts w:hint="eastAsia"/>
        </w:rPr>
        <w:t xml:space="preserve"> </w:t>
      </w:r>
      <w:r>
        <w:rPr>
          <w:rFonts w:ascii="Times New Roman" w:eastAsia="黑体"/>
        </w:rPr>
        <w:t>direct</w:t>
      </w:r>
      <w:r>
        <w:rPr>
          <w:rFonts w:hint="eastAsia" w:ascii="Times New Roman" w:eastAsia="黑体"/>
        </w:rPr>
        <w:t>-</w:t>
      </w:r>
      <w:r>
        <w:rPr>
          <w:rFonts w:ascii="Times New Roman" w:eastAsia="黑体"/>
        </w:rPr>
        <w:t>connected meter</w:t>
      </w:r>
      <w:bookmarkEnd w:id="5"/>
      <w:r>
        <w:rPr>
          <w:rFonts w:hint="eastAsia" w:ascii="Times New Roman" w:eastAsia="黑体"/>
        </w:rPr>
        <w:t xml:space="preserve"> </w:t>
      </w:r>
    </w:p>
    <w:p w14:paraId="4560AC3F">
      <w:pPr>
        <w:pStyle w:val="50"/>
        <w:spacing w:line="360" w:lineRule="auto"/>
        <w:ind w:firstLine="480"/>
        <w:rPr>
          <w:rFonts w:ascii="Times New Roman"/>
          <w:sz w:val="24"/>
          <w:szCs w:val="24"/>
        </w:rPr>
      </w:pPr>
      <w:r>
        <w:rPr>
          <w:rFonts w:hint="eastAsia" w:ascii="Times New Roman"/>
          <w:sz w:val="24"/>
          <w:szCs w:val="24"/>
        </w:rPr>
        <w:t>不使用外部的仪用直流传感器而是直接连接到被测电路的仪表。[来源：GB/T 33708.1，定义3.1.4]</w:t>
      </w:r>
    </w:p>
    <w:p w14:paraId="63308662">
      <w:pPr>
        <w:pStyle w:val="50"/>
        <w:spacing w:line="360" w:lineRule="auto"/>
        <w:ind w:firstLine="480"/>
        <w:rPr>
          <w:rFonts w:ascii="Times New Roman"/>
          <w:sz w:val="24"/>
          <w:szCs w:val="24"/>
        </w:rPr>
      </w:pPr>
      <w:r>
        <w:rPr>
          <w:rFonts w:hint="eastAsia" w:ascii="Times New Roman"/>
          <w:sz w:val="24"/>
          <w:szCs w:val="24"/>
        </w:rPr>
        <w:t>注：传感器可以是变送器、互感器、分压器或分流器等的一种，也可以是其组合应用。</w:t>
      </w:r>
    </w:p>
    <w:p w14:paraId="42DDCBC5">
      <w:pPr>
        <w:pStyle w:val="3"/>
        <w:rPr>
          <w:rFonts w:hint="eastAsia"/>
        </w:rPr>
      </w:pPr>
      <w:bookmarkStart w:id="6" w:name="_Toc408410796"/>
      <w:bookmarkEnd w:id="6"/>
      <w:bookmarkStart w:id="7" w:name="_Toc414356928"/>
      <w:bookmarkEnd w:id="7"/>
      <w:bookmarkStart w:id="8" w:name="_Toc414367232"/>
      <w:bookmarkEnd w:id="8"/>
      <w:bookmarkStart w:id="9" w:name="_Toc408394455"/>
      <w:bookmarkEnd w:id="9"/>
      <w:bookmarkStart w:id="10" w:name="_Toc414356684"/>
      <w:bookmarkEnd w:id="10"/>
      <w:bookmarkStart w:id="11" w:name="_Toc408474128"/>
      <w:bookmarkEnd w:id="11"/>
      <w:bookmarkStart w:id="12" w:name="_Toc209090326"/>
      <w:r>
        <w:rPr>
          <w:rFonts w:ascii="Times New Roman" w:hAnsi="Times New Roman"/>
        </w:rPr>
        <w:t>3.2</w:t>
      </w:r>
      <w:r>
        <w:t xml:space="preserve"> </w:t>
      </w:r>
      <w:r>
        <w:rPr>
          <w:rFonts w:hint="eastAsia"/>
        </w:rPr>
        <w:t xml:space="preserve"> </w:t>
      </w:r>
      <w:r>
        <w:t>间接接入电能表</w:t>
      </w:r>
      <w:r>
        <w:rPr>
          <w:rFonts w:hint="eastAsia"/>
        </w:rPr>
        <w:t xml:space="preserve">  </w:t>
      </w:r>
      <w:r>
        <w:rPr>
          <w:rFonts w:ascii="Times New Roman" w:eastAsia="黑体"/>
        </w:rPr>
        <w:t>indirect</w:t>
      </w:r>
      <w:r>
        <w:rPr>
          <w:rFonts w:hint="eastAsia" w:ascii="Times New Roman" w:eastAsia="黑体"/>
        </w:rPr>
        <w:t>-</w:t>
      </w:r>
      <w:r>
        <w:rPr>
          <w:rFonts w:ascii="Times New Roman" w:eastAsia="黑体"/>
        </w:rPr>
        <w:t>connected meter</w:t>
      </w:r>
      <w:bookmarkEnd w:id="12"/>
      <w:r>
        <w:rPr>
          <w:rFonts w:hint="eastAsia" w:ascii="Times New Roman" w:eastAsia="黑体"/>
        </w:rPr>
        <w:t xml:space="preserve"> </w:t>
      </w:r>
    </w:p>
    <w:p w14:paraId="5382EC04">
      <w:pPr>
        <w:pStyle w:val="50"/>
        <w:spacing w:line="360" w:lineRule="auto"/>
        <w:ind w:firstLine="480"/>
        <w:rPr>
          <w:rFonts w:ascii="Times New Roman"/>
          <w:sz w:val="24"/>
          <w:szCs w:val="24"/>
        </w:rPr>
      </w:pPr>
      <w:r>
        <w:rPr>
          <w:rFonts w:hint="eastAsia" w:ascii="Times New Roman"/>
          <w:sz w:val="24"/>
          <w:szCs w:val="24"/>
        </w:rPr>
        <w:t>使用外部的仪用直流传感器间接连接到被测电路的仪表。</w:t>
      </w:r>
    </w:p>
    <w:p w14:paraId="1C16D804">
      <w:pPr>
        <w:pStyle w:val="50"/>
        <w:spacing w:line="360" w:lineRule="auto"/>
        <w:ind w:firstLine="480"/>
        <w:rPr>
          <w:rFonts w:ascii="Times New Roman"/>
          <w:sz w:val="24"/>
          <w:szCs w:val="24"/>
        </w:rPr>
      </w:pPr>
      <w:r>
        <w:rPr>
          <w:rFonts w:hint="eastAsia" w:ascii="Times New Roman"/>
          <w:sz w:val="24"/>
          <w:szCs w:val="24"/>
        </w:rPr>
        <w:t>[来源：GB/T 33708.1，定义3.1.5]</w:t>
      </w:r>
    </w:p>
    <w:p w14:paraId="3BB311C1">
      <w:pPr>
        <w:pStyle w:val="50"/>
        <w:spacing w:line="360" w:lineRule="auto"/>
        <w:ind w:firstLine="480"/>
        <w:rPr>
          <w:rFonts w:ascii="Times New Roman"/>
          <w:sz w:val="24"/>
          <w:szCs w:val="24"/>
        </w:rPr>
      </w:pPr>
      <w:r>
        <w:rPr>
          <w:rFonts w:hint="eastAsia" w:ascii="Times New Roman"/>
          <w:sz w:val="24"/>
          <w:szCs w:val="24"/>
        </w:rPr>
        <w:t>注：直流传感器可以是变送器、互感器、分压器或分流器等的一种，也可以是其组合应用。</w:t>
      </w:r>
    </w:p>
    <w:p w14:paraId="51DF0B39">
      <w:pPr>
        <w:pStyle w:val="3"/>
        <w:rPr>
          <w:rFonts w:hint="eastAsia"/>
        </w:rPr>
      </w:pPr>
      <w:bookmarkStart w:id="13" w:name="_Toc209090327"/>
      <w:r>
        <w:rPr>
          <w:rFonts w:ascii="Times New Roman" w:hAnsi="Times New Roman"/>
        </w:rPr>
        <w:t>3.3</w:t>
      </w:r>
      <w:r>
        <w:t xml:space="preserve"> </w:t>
      </w:r>
      <w:r>
        <w:rPr>
          <w:rFonts w:hint="eastAsia"/>
        </w:rPr>
        <w:t xml:space="preserve"> </w:t>
      </w:r>
      <w:r>
        <w:rPr>
          <w:rFonts w:ascii="Times New Roman" w:hAnsi="Times New Roman"/>
        </w:rPr>
        <w:t>A</w:t>
      </w:r>
      <w:r>
        <w:rPr>
          <w:rFonts w:hint="eastAsia"/>
        </w:rPr>
        <w:t>类</w:t>
      </w:r>
      <w:r>
        <w:t xml:space="preserve">直流电能表 </w:t>
      </w:r>
      <w:r>
        <w:rPr>
          <w:rFonts w:hint="eastAsia"/>
        </w:rPr>
        <w:t xml:space="preserve"> </w:t>
      </w:r>
      <w:r>
        <w:rPr>
          <w:rFonts w:ascii="Times New Roman" w:eastAsia="黑体"/>
        </w:rPr>
        <w:t>meter</w:t>
      </w:r>
      <w:r>
        <w:rPr>
          <w:rFonts w:hint="eastAsia" w:ascii="Times New Roman" w:eastAsia="黑体"/>
        </w:rPr>
        <w:t xml:space="preserve"> for direct current energy（Type</w:t>
      </w:r>
      <w:r>
        <w:rPr>
          <w:rFonts w:ascii="Times New Roman" w:eastAsia="黑体"/>
        </w:rPr>
        <w:t xml:space="preserve"> A</w:t>
      </w:r>
      <w:r>
        <w:rPr>
          <w:rFonts w:hint="eastAsia" w:ascii="Times New Roman" w:eastAsia="黑体"/>
        </w:rPr>
        <w:t>）</w:t>
      </w:r>
      <w:bookmarkEnd w:id="13"/>
      <w:r>
        <w:rPr>
          <w:rFonts w:ascii="Times New Roman" w:eastAsia="黑体"/>
          <w:color w:val="ED7D31"/>
        </w:rPr>
        <w:t xml:space="preserve"> </w:t>
      </w:r>
    </w:p>
    <w:p w14:paraId="74BE6E8F">
      <w:pPr>
        <w:pStyle w:val="50"/>
        <w:spacing w:line="360" w:lineRule="auto"/>
        <w:ind w:firstLine="480"/>
        <w:rPr>
          <w:rFonts w:ascii="Times New Roman"/>
          <w:sz w:val="24"/>
          <w:szCs w:val="24"/>
        </w:rPr>
      </w:pPr>
      <w:r>
        <w:rPr>
          <w:rFonts w:ascii="Times New Roman"/>
          <w:sz w:val="24"/>
          <w:szCs w:val="24"/>
        </w:rPr>
        <w:t>由独立电源供电的直流电能表</w:t>
      </w:r>
      <w:r>
        <w:rPr>
          <w:rFonts w:hint="eastAsia" w:ascii="Times New Roman"/>
          <w:sz w:val="24"/>
          <w:szCs w:val="24"/>
        </w:rPr>
        <w:t>。</w:t>
      </w:r>
    </w:p>
    <w:p w14:paraId="48A45085">
      <w:pPr>
        <w:pStyle w:val="3"/>
        <w:rPr>
          <w:rFonts w:hint="eastAsia"/>
        </w:rPr>
      </w:pPr>
      <w:bookmarkStart w:id="14" w:name="_Toc209090328"/>
      <w:r>
        <w:rPr>
          <w:rFonts w:ascii="Times New Roman" w:hAnsi="Times New Roman"/>
        </w:rPr>
        <w:t>3.4</w:t>
      </w:r>
      <w:r>
        <w:t xml:space="preserve"> </w:t>
      </w:r>
      <w:r>
        <w:rPr>
          <w:rFonts w:hint="eastAsia"/>
        </w:rPr>
        <w:t xml:space="preserve"> </w:t>
      </w:r>
      <w:r>
        <w:rPr>
          <w:rFonts w:ascii="Times New Roman" w:hAnsi="Times New Roman"/>
        </w:rPr>
        <w:t>B</w:t>
      </w:r>
      <w:r>
        <w:rPr>
          <w:rFonts w:hint="eastAsia"/>
        </w:rPr>
        <w:t>类</w:t>
      </w:r>
      <w:r>
        <w:t xml:space="preserve">直流电能表 </w:t>
      </w:r>
      <w:r>
        <w:rPr>
          <w:rFonts w:hint="eastAsia"/>
        </w:rPr>
        <w:t xml:space="preserve"> </w:t>
      </w:r>
      <w:r>
        <w:rPr>
          <w:rFonts w:ascii="Times New Roman" w:eastAsia="黑体"/>
        </w:rPr>
        <w:t>meter</w:t>
      </w:r>
      <w:r>
        <w:rPr>
          <w:rFonts w:hint="eastAsia" w:ascii="Times New Roman" w:eastAsia="黑体"/>
        </w:rPr>
        <w:t xml:space="preserve"> for direct current energy（Type</w:t>
      </w:r>
      <w:r>
        <w:rPr>
          <w:rFonts w:ascii="Times New Roman" w:eastAsia="黑体"/>
        </w:rPr>
        <w:t xml:space="preserve"> B</w:t>
      </w:r>
      <w:r>
        <w:rPr>
          <w:rFonts w:hint="eastAsia" w:ascii="Times New Roman" w:eastAsia="黑体"/>
        </w:rPr>
        <w:t>）</w:t>
      </w:r>
      <w:bookmarkEnd w:id="14"/>
    </w:p>
    <w:p w14:paraId="5D860C9A">
      <w:pPr>
        <w:pStyle w:val="50"/>
        <w:spacing w:line="360" w:lineRule="auto"/>
        <w:ind w:firstLine="480"/>
        <w:rPr>
          <w:rFonts w:hint="eastAsia" w:hAnsi="宋体"/>
          <w:sz w:val="24"/>
          <w:szCs w:val="24"/>
        </w:rPr>
      </w:pPr>
      <w:r>
        <w:rPr>
          <w:rFonts w:hint="eastAsia" w:hAnsi="宋体"/>
          <w:sz w:val="24"/>
          <w:szCs w:val="24"/>
        </w:rPr>
        <w:t>由电压测量线路供电的直流电能表。</w:t>
      </w:r>
    </w:p>
    <w:p w14:paraId="4D7AF1FB">
      <w:pPr>
        <w:pStyle w:val="3"/>
        <w:rPr>
          <w:rFonts w:hint="eastAsia"/>
        </w:rPr>
      </w:pPr>
      <w:bookmarkStart w:id="15" w:name="_Toc209090329"/>
      <w:r>
        <w:rPr>
          <w:rFonts w:ascii="Times New Roman" w:hAnsi="Times New Roman"/>
        </w:rPr>
        <w:t>3.</w:t>
      </w:r>
      <w:r>
        <w:rPr>
          <w:rFonts w:hint="eastAsia" w:ascii="Times New Roman" w:hAnsi="Times New Roman"/>
        </w:rPr>
        <w:t>5</w:t>
      </w:r>
      <w:r>
        <w:t xml:space="preserve"> </w:t>
      </w:r>
      <w:r>
        <w:rPr>
          <w:rFonts w:hint="eastAsia"/>
        </w:rPr>
        <w:t xml:space="preserve"> 标称电压</w:t>
      </w:r>
      <w:r>
        <w:t xml:space="preserve"> </w:t>
      </w:r>
      <w:r>
        <w:rPr>
          <w:rFonts w:hint="eastAsia"/>
        </w:rPr>
        <w:t xml:space="preserve"> </w:t>
      </w:r>
      <w:r>
        <w:rPr>
          <w:rFonts w:ascii="Times New Roman" w:eastAsia="黑体"/>
        </w:rPr>
        <w:t>nominal voltage</w:t>
      </w:r>
      <w:bookmarkEnd w:id="15"/>
      <w:r>
        <w:rPr>
          <w:rFonts w:ascii="Times New Roman" w:eastAsia="黑体"/>
          <w:color w:val="ED7D31"/>
        </w:rPr>
        <w:t xml:space="preserve"> </w:t>
      </w:r>
    </w:p>
    <w:p w14:paraId="1D8EDE7E">
      <w:pPr>
        <w:pStyle w:val="50"/>
        <w:spacing w:line="360" w:lineRule="auto"/>
        <w:ind w:firstLine="480"/>
        <w:rPr>
          <w:rFonts w:hint="eastAsia" w:ascii="Times New Roman" w:hAnsi="宋体" w:eastAsia="黑体"/>
          <w:bCs/>
          <w:sz w:val="24"/>
          <w:szCs w:val="24"/>
        </w:rPr>
      </w:pPr>
      <w:r>
        <w:rPr>
          <w:rFonts w:ascii="Times New Roman" w:hAnsi="宋体" w:eastAsia="黑体"/>
          <w:bCs/>
          <w:i/>
          <w:iCs/>
          <w:sz w:val="24"/>
          <w:szCs w:val="24"/>
        </w:rPr>
        <w:t>U</w:t>
      </w:r>
      <w:r>
        <w:rPr>
          <w:rFonts w:ascii="Times New Roman" w:hAnsi="宋体" w:eastAsia="黑体"/>
          <w:bCs/>
          <w:sz w:val="24"/>
          <w:szCs w:val="24"/>
          <w:vertAlign w:val="subscript"/>
        </w:rPr>
        <w:t>n</w:t>
      </w:r>
    </w:p>
    <w:p w14:paraId="0CFA440F">
      <w:pPr>
        <w:pStyle w:val="50"/>
        <w:spacing w:line="360" w:lineRule="auto"/>
        <w:ind w:firstLine="480"/>
        <w:rPr>
          <w:rFonts w:hint="eastAsia" w:hAnsi="宋体"/>
          <w:sz w:val="24"/>
          <w:szCs w:val="24"/>
        </w:rPr>
      </w:pPr>
      <w:r>
        <w:rPr>
          <w:rFonts w:hint="eastAsia" w:hAnsi="宋体"/>
          <w:sz w:val="24"/>
          <w:szCs w:val="24"/>
        </w:rPr>
        <w:t>确定仪表相关性能所依据的电压值。</w:t>
      </w:r>
    </w:p>
    <w:p w14:paraId="3ED9AC15">
      <w:pPr>
        <w:pStyle w:val="50"/>
        <w:spacing w:line="360" w:lineRule="auto"/>
        <w:ind w:firstLine="480"/>
        <w:rPr>
          <w:rFonts w:hint="eastAsia" w:hAnsi="宋体"/>
          <w:sz w:val="24"/>
          <w:szCs w:val="24"/>
        </w:rPr>
      </w:pPr>
      <w:r>
        <w:rPr>
          <w:rFonts w:hint="eastAsia" w:hAnsi="宋体"/>
          <w:sz w:val="24"/>
          <w:szCs w:val="24"/>
        </w:rPr>
        <w:t>注：除非另有说明，术语“电压”指方均根值（RMS）。</w:t>
      </w:r>
    </w:p>
    <w:p w14:paraId="5C4CF00D">
      <w:pPr>
        <w:pStyle w:val="50"/>
        <w:spacing w:line="360" w:lineRule="auto"/>
        <w:ind w:firstLine="480"/>
        <w:rPr>
          <w:rFonts w:hint="eastAsia" w:hAnsi="宋体"/>
          <w:sz w:val="24"/>
          <w:szCs w:val="24"/>
        </w:rPr>
      </w:pPr>
      <w:r>
        <w:rPr>
          <w:rFonts w:hint="eastAsia" w:hAnsi="宋体"/>
          <w:sz w:val="24"/>
          <w:szCs w:val="24"/>
        </w:rPr>
        <w:t>[</w:t>
      </w:r>
      <w:r>
        <w:rPr>
          <w:rFonts w:hint="eastAsia" w:ascii="Times New Roman"/>
          <w:sz w:val="24"/>
          <w:szCs w:val="24"/>
        </w:rPr>
        <w:t>来源：GB/T 33708.1，定义3.3.1</w:t>
      </w:r>
      <w:r>
        <w:rPr>
          <w:rFonts w:hint="eastAsia" w:hAnsi="宋体"/>
          <w:sz w:val="24"/>
          <w:szCs w:val="24"/>
        </w:rPr>
        <w:t>]</w:t>
      </w:r>
    </w:p>
    <w:p w14:paraId="0DA195C7">
      <w:pPr>
        <w:pStyle w:val="3"/>
        <w:rPr>
          <w:rFonts w:hint="eastAsia"/>
        </w:rPr>
      </w:pPr>
      <w:bookmarkStart w:id="16" w:name="_Toc209090330"/>
      <w:r>
        <w:rPr>
          <w:rFonts w:ascii="Times New Roman" w:hAnsi="Times New Roman"/>
        </w:rPr>
        <w:t>3.</w:t>
      </w:r>
      <w:r>
        <w:rPr>
          <w:rFonts w:hint="eastAsia" w:ascii="Times New Roman" w:hAnsi="Times New Roman"/>
        </w:rPr>
        <w:t>6</w:t>
      </w:r>
      <w:r>
        <w:t xml:space="preserve"> </w:t>
      </w:r>
      <w:r>
        <w:rPr>
          <w:rFonts w:hint="eastAsia"/>
        </w:rPr>
        <w:t xml:space="preserve"> 最小标称电压 </w:t>
      </w:r>
      <w:r>
        <w:rPr>
          <w:rFonts w:ascii="Times New Roman" w:hAnsi="Times New Roman"/>
        </w:rPr>
        <w:t>minimum nominal voltage</w:t>
      </w:r>
      <w:bookmarkEnd w:id="16"/>
      <w:r>
        <w:rPr>
          <w:rFonts w:ascii="Times New Roman" w:hAnsi="Times New Roman" w:eastAsia="黑体"/>
          <w:color w:val="ED7D31"/>
        </w:rPr>
        <w:t xml:space="preserve"> </w:t>
      </w:r>
    </w:p>
    <w:p w14:paraId="0AFBAE91">
      <w:pPr>
        <w:pStyle w:val="50"/>
        <w:spacing w:line="360" w:lineRule="auto"/>
        <w:ind w:firstLine="480"/>
        <w:rPr>
          <w:rFonts w:hint="eastAsia" w:ascii="Times New Roman" w:hAnsi="宋体" w:eastAsia="黑体"/>
          <w:bCs/>
          <w:sz w:val="24"/>
          <w:szCs w:val="24"/>
        </w:rPr>
      </w:pPr>
      <w:r>
        <w:rPr>
          <w:rFonts w:ascii="Times New Roman" w:hAnsi="宋体" w:eastAsia="黑体"/>
          <w:bCs/>
          <w:i/>
          <w:iCs/>
          <w:sz w:val="24"/>
          <w:szCs w:val="24"/>
        </w:rPr>
        <w:t>U</w:t>
      </w:r>
      <w:r>
        <w:rPr>
          <w:rFonts w:ascii="Times New Roman" w:hAnsi="宋体" w:eastAsia="黑体"/>
          <w:bCs/>
          <w:sz w:val="24"/>
          <w:szCs w:val="24"/>
          <w:vertAlign w:val="subscript"/>
        </w:rPr>
        <w:t>n</w:t>
      </w:r>
      <w:r>
        <w:rPr>
          <w:rFonts w:hint="eastAsia" w:ascii="Times New Roman" w:hAnsi="宋体" w:eastAsia="黑体"/>
          <w:bCs/>
          <w:sz w:val="24"/>
          <w:szCs w:val="24"/>
          <w:vertAlign w:val="subscript"/>
        </w:rPr>
        <w:t>_min</w:t>
      </w:r>
    </w:p>
    <w:p w14:paraId="746497C9">
      <w:pPr>
        <w:pStyle w:val="50"/>
        <w:spacing w:line="360" w:lineRule="auto"/>
        <w:ind w:firstLine="480"/>
        <w:rPr>
          <w:rFonts w:hint="eastAsia" w:hAnsi="宋体"/>
          <w:sz w:val="24"/>
          <w:szCs w:val="24"/>
        </w:rPr>
      </w:pPr>
      <w:r>
        <w:rPr>
          <w:rFonts w:hint="eastAsia" w:hAnsi="宋体"/>
          <w:sz w:val="24"/>
          <w:szCs w:val="24"/>
        </w:rPr>
        <w:t>仪表标称电压范围的下限值。</w:t>
      </w:r>
    </w:p>
    <w:p w14:paraId="2EC0FA9D">
      <w:pPr>
        <w:pStyle w:val="50"/>
        <w:spacing w:line="360" w:lineRule="auto"/>
        <w:ind w:firstLine="480"/>
        <w:rPr>
          <w:rFonts w:hint="eastAsia" w:hAnsi="宋体"/>
          <w:sz w:val="24"/>
          <w:szCs w:val="24"/>
        </w:rPr>
      </w:pPr>
      <w:r>
        <w:rPr>
          <w:rFonts w:hint="eastAsia" w:hAnsi="宋体"/>
          <w:sz w:val="24"/>
          <w:szCs w:val="24"/>
        </w:rPr>
        <w:t>[</w:t>
      </w:r>
      <w:r>
        <w:rPr>
          <w:rFonts w:hint="eastAsia" w:ascii="Times New Roman"/>
          <w:sz w:val="24"/>
          <w:szCs w:val="24"/>
        </w:rPr>
        <w:t>来源：GB/T 33708.1，定义3.3.2</w:t>
      </w:r>
      <w:r>
        <w:rPr>
          <w:rFonts w:hint="eastAsia" w:hAnsi="宋体"/>
          <w:sz w:val="24"/>
          <w:szCs w:val="24"/>
        </w:rPr>
        <w:t>]</w:t>
      </w:r>
    </w:p>
    <w:p w14:paraId="68385E46">
      <w:pPr>
        <w:pStyle w:val="3"/>
        <w:rPr>
          <w:rFonts w:hint="eastAsia"/>
        </w:rPr>
      </w:pPr>
      <w:bookmarkStart w:id="17" w:name="_Toc209090331"/>
      <w:r>
        <w:rPr>
          <w:rFonts w:ascii="Times New Roman" w:hAnsi="Times New Roman"/>
        </w:rPr>
        <w:t>3.</w:t>
      </w:r>
      <w:r>
        <w:rPr>
          <w:rFonts w:hint="eastAsia" w:ascii="Times New Roman" w:hAnsi="Times New Roman"/>
        </w:rPr>
        <w:t>7</w:t>
      </w:r>
      <w:r>
        <w:t xml:space="preserve"> </w:t>
      </w:r>
      <w:r>
        <w:rPr>
          <w:rFonts w:hint="eastAsia"/>
        </w:rPr>
        <w:t xml:space="preserve"> 最大标称电压 </w:t>
      </w:r>
      <w:r>
        <w:rPr>
          <w:rFonts w:ascii="Times New Roman" w:hAnsi="Times New Roman"/>
        </w:rPr>
        <w:t>maximum nominal voltage</w:t>
      </w:r>
      <w:bookmarkEnd w:id="17"/>
      <w:r>
        <w:rPr>
          <w:rFonts w:ascii="Times New Roman" w:hAnsi="Times New Roman" w:eastAsia="黑体"/>
          <w:color w:val="ED7D31"/>
        </w:rPr>
        <w:t xml:space="preserve"> </w:t>
      </w:r>
    </w:p>
    <w:p w14:paraId="5309C168">
      <w:pPr>
        <w:pStyle w:val="50"/>
        <w:spacing w:line="360" w:lineRule="auto"/>
        <w:ind w:firstLine="480"/>
        <w:rPr>
          <w:rFonts w:hint="eastAsia" w:ascii="Times New Roman" w:hAnsi="宋体" w:eastAsia="黑体"/>
          <w:bCs/>
          <w:sz w:val="24"/>
          <w:szCs w:val="24"/>
        </w:rPr>
      </w:pPr>
      <w:r>
        <w:rPr>
          <w:rFonts w:ascii="Times New Roman" w:hAnsi="宋体" w:eastAsia="黑体"/>
          <w:bCs/>
          <w:i/>
          <w:iCs/>
          <w:sz w:val="24"/>
          <w:szCs w:val="24"/>
        </w:rPr>
        <w:t>U</w:t>
      </w:r>
      <w:r>
        <w:rPr>
          <w:rFonts w:ascii="Times New Roman" w:hAnsi="宋体" w:eastAsia="黑体"/>
          <w:bCs/>
          <w:sz w:val="24"/>
          <w:szCs w:val="24"/>
          <w:vertAlign w:val="subscript"/>
        </w:rPr>
        <w:t>n</w:t>
      </w:r>
      <w:r>
        <w:rPr>
          <w:rFonts w:hint="eastAsia" w:ascii="Times New Roman" w:hAnsi="宋体" w:eastAsia="黑体"/>
          <w:bCs/>
          <w:sz w:val="24"/>
          <w:szCs w:val="24"/>
          <w:vertAlign w:val="subscript"/>
        </w:rPr>
        <w:t>_max</w:t>
      </w:r>
    </w:p>
    <w:p w14:paraId="384D96E3">
      <w:pPr>
        <w:pStyle w:val="50"/>
        <w:spacing w:line="360" w:lineRule="auto"/>
        <w:ind w:firstLine="480"/>
        <w:rPr>
          <w:rFonts w:hint="eastAsia" w:hAnsi="宋体"/>
          <w:sz w:val="24"/>
          <w:szCs w:val="24"/>
        </w:rPr>
      </w:pPr>
      <w:r>
        <w:rPr>
          <w:rFonts w:hint="eastAsia" w:hAnsi="宋体"/>
          <w:sz w:val="24"/>
          <w:szCs w:val="24"/>
        </w:rPr>
        <w:t>仪表标称电压范围的上限值。</w:t>
      </w:r>
    </w:p>
    <w:p w14:paraId="1F23EB77">
      <w:pPr>
        <w:pStyle w:val="50"/>
        <w:spacing w:line="360" w:lineRule="auto"/>
        <w:ind w:firstLine="480"/>
        <w:rPr>
          <w:rFonts w:hint="eastAsia" w:hAnsi="宋体"/>
          <w:sz w:val="24"/>
          <w:szCs w:val="24"/>
        </w:rPr>
      </w:pPr>
      <w:r>
        <w:rPr>
          <w:rFonts w:hint="eastAsia" w:hAnsi="宋体"/>
          <w:sz w:val="24"/>
          <w:szCs w:val="24"/>
        </w:rPr>
        <w:t>[</w:t>
      </w:r>
      <w:r>
        <w:rPr>
          <w:rFonts w:hint="eastAsia" w:ascii="Times New Roman"/>
          <w:sz w:val="24"/>
          <w:szCs w:val="24"/>
        </w:rPr>
        <w:t>来源：GB/T 33708.1，定义3.3.3</w:t>
      </w:r>
      <w:r>
        <w:rPr>
          <w:rFonts w:hint="eastAsia" w:hAnsi="宋体"/>
          <w:sz w:val="24"/>
          <w:szCs w:val="24"/>
        </w:rPr>
        <w:t>]</w:t>
      </w:r>
    </w:p>
    <w:p w14:paraId="34003B3E">
      <w:pPr>
        <w:pStyle w:val="3"/>
        <w:rPr>
          <w:rFonts w:hint="eastAsia"/>
        </w:rPr>
      </w:pPr>
      <w:bookmarkStart w:id="18" w:name="_Toc209090332"/>
      <w:r>
        <w:rPr>
          <w:rFonts w:ascii="Times New Roman" w:hAnsi="Times New Roman"/>
        </w:rPr>
        <w:t>3.</w:t>
      </w:r>
      <w:r>
        <w:rPr>
          <w:rFonts w:hint="eastAsia" w:ascii="Times New Roman" w:hAnsi="Times New Roman"/>
        </w:rPr>
        <w:t>8</w:t>
      </w:r>
      <w:r>
        <w:t xml:space="preserve"> </w:t>
      </w:r>
      <w:r>
        <w:rPr>
          <w:rFonts w:hint="eastAsia"/>
        </w:rPr>
        <w:t xml:space="preserve"> 标称电流 </w:t>
      </w:r>
      <w:r>
        <w:rPr>
          <w:rFonts w:ascii="Times New Roman" w:hAnsi="Times New Roman"/>
        </w:rPr>
        <w:t>nominal current</w:t>
      </w:r>
      <w:bookmarkEnd w:id="18"/>
      <w:r>
        <w:rPr>
          <w:rFonts w:ascii="Times New Roman" w:hAnsi="Times New Roman" w:eastAsia="黑体"/>
          <w:color w:val="ED7D31"/>
        </w:rPr>
        <w:t xml:space="preserve"> </w:t>
      </w:r>
    </w:p>
    <w:p w14:paraId="07ED8BCC">
      <w:pPr>
        <w:pStyle w:val="50"/>
        <w:spacing w:line="360" w:lineRule="auto"/>
        <w:ind w:firstLine="480"/>
        <w:rPr>
          <w:rFonts w:hint="eastAsia" w:ascii="Times New Roman" w:hAnsi="宋体" w:eastAsia="黑体"/>
          <w:bCs/>
          <w:sz w:val="24"/>
          <w:szCs w:val="24"/>
        </w:rPr>
      </w:pPr>
      <w:r>
        <w:rPr>
          <w:rFonts w:hint="eastAsia" w:ascii="Times New Roman" w:hAnsi="宋体" w:eastAsia="黑体"/>
          <w:bCs/>
          <w:i/>
          <w:iCs/>
          <w:sz w:val="24"/>
          <w:szCs w:val="24"/>
        </w:rPr>
        <w:t>I</w:t>
      </w:r>
      <w:r>
        <w:rPr>
          <w:rFonts w:hint="eastAsia" w:ascii="Times New Roman" w:hAnsi="宋体" w:eastAsia="黑体"/>
          <w:bCs/>
          <w:sz w:val="24"/>
          <w:szCs w:val="24"/>
          <w:vertAlign w:val="subscript"/>
        </w:rPr>
        <w:t>n</w:t>
      </w:r>
    </w:p>
    <w:p w14:paraId="6EA641A8">
      <w:pPr>
        <w:pStyle w:val="50"/>
        <w:spacing w:line="360" w:lineRule="auto"/>
        <w:ind w:firstLine="480"/>
        <w:rPr>
          <w:rFonts w:hint="eastAsia" w:hAnsi="宋体"/>
          <w:sz w:val="24"/>
          <w:szCs w:val="24"/>
        </w:rPr>
      </w:pPr>
      <w:r>
        <w:rPr>
          <w:rFonts w:hint="eastAsia" w:hAnsi="宋体"/>
          <w:sz w:val="24"/>
          <w:szCs w:val="24"/>
        </w:rPr>
        <w:t>确定仪表相关性能所依据的电流值。</w:t>
      </w:r>
    </w:p>
    <w:p w14:paraId="243C0F38">
      <w:pPr>
        <w:pStyle w:val="50"/>
        <w:spacing w:line="360" w:lineRule="auto"/>
        <w:ind w:firstLine="480"/>
        <w:rPr>
          <w:rFonts w:hint="eastAsia" w:hAnsi="宋体"/>
          <w:sz w:val="24"/>
          <w:szCs w:val="24"/>
        </w:rPr>
      </w:pPr>
      <w:r>
        <w:rPr>
          <w:rFonts w:hint="eastAsia" w:hAnsi="宋体"/>
          <w:sz w:val="24"/>
          <w:szCs w:val="24"/>
        </w:rPr>
        <w:t>注：除非另有说明，术语“电流”指方均根值（RMS）。</w:t>
      </w:r>
    </w:p>
    <w:p w14:paraId="36C422F0">
      <w:pPr>
        <w:pStyle w:val="50"/>
        <w:spacing w:line="360" w:lineRule="auto"/>
        <w:ind w:firstLine="480"/>
        <w:rPr>
          <w:rFonts w:hint="eastAsia" w:hAnsi="宋体"/>
          <w:sz w:val="24"/>
          <w:szCs w:val="24"/>
        </w:rPr>
      </w:pPr>
      <w:r>
        <w:rPr>
          <w:rFonts w:hint="eastAsia" w:hAnsi="宋体"/>
          <w:sz w:val="24"/>
          <w:szCs w:val="24"/>
        </w:rPr>
        <w:t>[</w:t>
      </w:r>
      <w:r>
        <w:rPr>
          <w:rFonts w:hint="eastAsia" w:ascii="Times New Roman"/>
          <w:sz w:val="24"/>
          <w:szCs w:val="24"/>
        </w:rPr>
        <w:t>来源：GB/T 33708.1，定义3.3.4</w:t>
      </w:r>
      <w:r>
        <w:rPr>
          <w:rFonts w:hint="eastAsia" w:hAnsi="宋体"/>
          <w:sz w:val="24"/>
          <w:szCs w:val="24"/>
        </w:rPr>
        <w:t>]</w:t>
      </w:r>
    </w:p>
    <w:p w14:paraId="5ACF8D88">
      <w:pPr>
        <w:pStyle w:val="3"/>
        <w:rPr>
          <w:rFonts w:hint="eastAsia"/>
        </w:rPr>
      </w:pPr>
      <w:bookmarkStart w:id="19" w:name="_Toc209090333"/>
      <w:r>
        <w:rPr>
          <w:rFonts w:ascii="Times New Roman" w:hAnsi="Times New Roman"/>
        </w:rPr>
        <w:t>3.</w:t>
      </w:r>
      <w:r>
        <w:rPr>
          <w:rFonts w:hint="eastAsia" w:ascii="Times New Roman" w:hAnsi="Times New Roman"/>
        </w:rPr>
        <w:t>9</w:t>
      </w:r>
      <w:r>
        <w:t xml:space="preserve"> </w:t>
      </w:r>
      <w:r>
        <w:rPr>
          <w:rFonts w:hint="eastAsia"/>
        </w:rPr>
        <w:t xml:space="preserve"> 起动电流 </w:t>
      </w:r>
      <w:r>
        <w:rPr>
          <w:rFonts w:ascii="Times New Roman" w:hAnsi="Times New Roman"/>
        </w:rPr>
        <w:t>starting current</w:t>
      </w:r>
      <w:bookmarkEnd w:id="19"/>
      <w:r>
        <w:rPr>
          <w:rFonts w:ascii="Times New Roman" w:hAnsi="Times New Roman" w:eastAsia="黑体"/>
          <w:color w:val="ED7D31"/>
        </w:rPr>
        <w:t xml:space="preserve"> </w:t>
      </w:r>
    </w:p>
    <w:p w14:paraId="67758A32">
      <w:pPr>
        <w:pStyle w:val="50"/>
        <w:spacing w:line="360" w:lineRule="auto"/>
        <w:ind w:firstLine="480"/>
        <w:rPr>
          <w:rFonts w:hint="eastAsia" w:ascii="Times New Roman" w:hAnsi="宋体" w:eastAsia="黑体"/>
          <w:bCs/>
          <w:sz w:val="24"/>
          <w:szCs w:val="24"/>
        </w:rPr>
      </w:pPr>
      <w:r>
        <w:rPr>
          <w:rFonts w:hint="eastAsia" w:ascii="Times New Roman" w:hAnsi="宋体" w:eastAsia="黑体"/>
          <w:bCs/>
          <w:i/>
          <w:iCs/>
          <w:sz w:val="24"/>
          <w:szCs w:val="24"/>
        </w:rPr>
        <w:t>I</w:t>
      </w:r>
      <w:r>
        <w:rPr>
          <w:rFonts w:hint="eastAsia" w:ascii="Times New Roman" w:hAnsi="宋体" w:eastAsia="黑体"/>
          <w:bCs/>
          <w:sz w:val="24"/>
          <w:szCs w:val="24"/>
          <w:vertAlign w:val="subscript"/>
        </w:rPr>
        <w:t>st</w:t>
      </w:r>
    </w:p>
    <w:p w14:paraId="516DA390">
      <w:pPr>
        <w:pStyle w:val="50"/>
        <w:spacing w:line="360" w:lineRule="auto"/>
        <w:ind w:firstLine="480"/>
        <w:rPr>
          <w:rFonts w:hint="eastAsia" w:hAnsi="宋体"/>
          <w:sz w:val="24"/>
          <w:szCs w:val="24"/>
        </w:rPr>
      </w:pPr>
      <w:r>
        <w:rPr>
          <w:rFonts w:hint="eastAsia" w:hAnsi="宋体"/>
          <w:sz w:val="24"/>
          <w:szCs w:val="24"/>
        </w:rPr>
        <w:t>规定的仪表起动并连续记录电能的电流值。</w:t>
      </w:r>
    </w:p>
    <w:p w14:paraId="288E843E">
      <w:pPr>
        <w:pStyle w:val="50"/>
        <w:spacing w:line="360" w:lineRule="auto"/>
        <w:ind w:firstLine="480"/>
        <w:rPr>
          <w:rFonts w:hint="eastAsia" w:hAnsi="宋体"/>
          <w:sz w:val="24"/>
          <w:szCs w:val="24"/>
        </w:rPr>
      </w:pPr>
      <w:r>
        <w:rPr>
          <w:rFonts w:hint="eastAsia" w:hAnsi="宋体"/>
          <w:sz w:val="24"/>
          <w:szCs w:val="24"/>
        </w:rPr>
        <w:t>[</w:t>
      </w:r>
      <w:r>
        <w:rPr>
          <w:rFonts w:hint="eastAsia" w:ascii="Times New Roman"/>
          <w:sz w:val="24"/>
          <w:szCs w:val="24"/>
        </w:rPr>
        <w:t>来源：GB/T 33708.1，定义3.3.5</w:t>
      </w:r>
      <w:r>
        <w:rPr>
          <w:rFonts w:hint="eastAsia" w:hAnsi="宋体"/>
          <w:sz w:val="24"/>
          <w:szCs w:val="24"/>
        </w:rPr>
        <w:t>]</w:t>
      </w:r>
    </w:p>
    <w:p w14:paraId="6B06E2E9">
      <w:pPr>
        <w:pStyle w:val="50"/>
        <w:spacing w:line="360" w:lineRule="auto"/>
        <w:ind w:firstLine="480"/>
        <w:rPr>
          <w:rFonts w:hint="eastAsia" w:hAnsi="宋体"/>
          <w:sz w:val="24"/>
          <w:szCs w:val="24"/>
        </w:rPr>
      </w:pPr>
    </w:p>
    <w:p w14:paraId="1DF2FD21">
      <w:pPr>
        <w:pStyle w:val="2"/>
      </w:pPr>
      <w:bookmarkStart w:id="20" w:name="_Toc209090334"/>
      <w:r>
        <w:rPr>
          <w:rFonts w:hint="eastAsia"/>
        </w:rPr>
        <w:t>4  概述</w:t>
      </w:r>
      <w:bookmarkEnd w:id="20"/>
    </w:p>
    <w:p w14:paraId="0DE5A911">
      <w:pPr>
        <w:spacing w:line="360" w:lineRule="auto"/>
        <w:ind w:firstLine="480" w:firstLineChars="200"/>
        <w:rPr>
          <w:rFonts w:hint="eastAsia" w:ascii="宋体" w:hAnsi="宋体"/>
          <w:kern w:val="0"/>
          <w:sz w:val="24"/>
          <w:szCs w:val="24"/>
        </w:rPr>
      </w:pPr>
      <w:r>
        <w:rPr>
          <w:rFonts w:hint="eastAsia" w:ascii="宋体" w:hAnsi="宋体"/>
          <w:kern w:val="0"/>
          <w:sz w:val="24"/>
          <w:szCs w:val="24"/>
        </w:rPr>
        <w:t>由直流电流（或代表直流电流的电压）和直流电压作用于固态（电子）元件而产生与被测电能成正比输出的仪表，称为电子式直流电能表。按照接入方式可分为直接接入电能表和间接接入电能表两类。</w:t>
      </w:r>
    </w:p>
    <w:p w14:paraId="3E93AEFE">
      <w:pPr>
        <w:spacing w:line="360" w:lineRule="auto"/>
        <w:ind w:firstLine="480" w:firstLineChars="200"/>
        <w:rPr>
          <w:rFonts w:hint="eastAsia" w:ascii="宋体" w:hAnsi="宋体"/>
          <w:kern w:val="0"/>
          <w:sz w:val="24"/>
          <w:szCs w:val="24"/>
        </w:rPr>
      </w:pPr>
      <w:r>
        <w:rPr>
          <w:rFonts w:hint="eastAsia" w:ascii="宋体" w:hAnsi="宋体"/>
          <w:kern w:val="0"/>
          <w:sz w:val="24"/>
          <w:szCs w:val="24"/>
        </w:rPr>
        <w:t>其原理结构框图如下：</w:t>
      </w:r>
    </w:p>
    <w:p w14:paraId="42AD1A7E">
      <w:pPr>
        <w:pStyle w:val="73"/>
        <w:ind w:firstLine="0" w:firstLineChars="0"/>
        <w:jc w:val="center"/>
      </w:pPr>
      <w:r>
        <w:rPr>
          <w:rFonts w:ascii="Times New Roman" w:hAnsi="Times New Roman" w:eastAsia="华文仿宋"/>
        </w:rPr>
        <w:object>
          <v:shape id="_x0000_i1025" o:spt="75" type="#_x0000_t75" style="height:173.55pt;width:350pt;" o:ole="t" filled="f" o:preferrelative="t" stroked="f" coordsize="21600,21600">
            <v:path/>
            <v:fill on="f" focussize="0,0"/>
            <v:stroke on="f" joinstyle="miter"/>
            <v:imagedata r:id="rId11" o:title=""/>
            <o:lock v:ext="edit" aspectratio="f"/>
            <w10:wrap type="none"/>
            <w10:anchorlock/>
          </v:shape>
          <o:OLEObject Type="Embed" ProgID="Visio.Drawing.11" ShapeID="_x0000_i1025" DrawAspect="Content" ObjectID="_1468075725" r:id="rId10">
            <o:LockedField>false</o:LockedField>
          </o:OLEObject>
        </w:object>
      </w:r>
    </w:p>
    <w:p w14:paraId="413104F6">
      <w:pPr>
        <w:jc w:val="center"/>
      </w:pPr>
      <w:r>
        <w:rPr>
          <w:rFonts w:hint="eastAsia"/>
        </w:rPr>
        <w:t xml:space="preserve"> 图1  直接接入电能表原理结构框图</w:t>
      </w:r>
    </w:p>
    <w:p w14:paraId="109818B4">
      <w:pPr>
        <w:pStyle w:val="73"/>
        <w:ind w:firstLine="0" w:firstLineChars="0"/>
        <w:jc w:val="center"/>
      </w:pPr>
      <w:r>
        <w:rPr>
          <w:rFonts w:ascii="Times New Roman" w:hAnsi="Times New Roman" w:eastAsia="华文仿宋"/>
        </w:rPr>
        <w:object>
          <v:shape id="_x0000_i1026" o:spt="75" type="#_x0000_t75" style="height:175.2pt;width:355.4pt;" o:ole="t" filled="f" o:preferrelative="t" stroked="f" coordsize="21600,21600">
            <v:path/>
            <v:fill on="f" focussize="0,0"/>
            <v:stroke on="f" joinstyle="miter"/>
            <v:imagedata r:id="rId13" o:title=""/>
            <o:lock v:ext="edit" aspectratio="f"/>
            <w10:wrap type="none"/>
            <w10:anchorlock/>
          </v:shape>
          <o:OLEObject Type="Embed" ProgID="Visio.Drawing.11" ShapeID="_x0000_i1026" DrawAspect="Content" ObjectID="_1468075726" r:id="rId12">
            <o:LockedField>false</o:LockedField>
          </o:OLEObject>
        </w:object>
      </w:r>
    </w:p>
    <w:p w14:paraId="7FC05C4B">
      <w:pPr>
        <w:pStyle w:val="73"/>
        <w:ind w:left="360" w:firstLine="0" w:firstLineChars="0"/>
        <w:jc w:val="center"/>
      </w:pPr>
      <w:r>
        <w:rPr>
          <w:rFonts w:hint="eastAsia"/>
        </w:rPr>
        <w:t>图</w:t>
      </w:r>
      <w:r>
        <w:rPr>
          <w:rFonts w:ascii="Times New Roman" w:hAnsi="Times New Roman"/>
        </w:rPr>
        <w:t>2</w:t>
      </w:r>
      <w:r>
        <w:rPr>
          <w:rFonts w:hint="eastAsia"/>
        </w:rPr>
        <w:t xml:space="preserve">  间接接入电能表原理结构框图（电流端间接接入）</w:t>
      </w:r>
    </w:p>
    <w:p w14:paraId="3A3175AA">
      <w:pPr>
        <w:pStyle w:val="73"/>
        <w:ind w:left="360" w:firstLine="0" w:firstLineChars="0"/>
        <w:jc w:val="center"/>
      </w:pPr>
      <w:r>
        <w:object>
          <v:shape id="_x0000_i1027" o:spt="75" type="#_x0000_t75" style="height:220.6pt;width:384.15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14:paraId="58FB45CD">
      <w:pPr>
        <w:pStyle w:val="73"/>
        <w:ind w:left="360" w:firstLine="0" w:firstLineChars="0"/>
        <w:jc w:val="center"/>
      </w:pPr>
      <w:r>
        <w:rPr>
          <w:rFonts w:hint="eastAsia"/>
        </w:rPr>
        <w:t>图</w:t>
      </w:r>
      <w:r>
        <w:rPr>
          <w:rFonts w:hint="eastAsia" w:ascii="Times New Roman" w:hAnsi="Times New Roman"/>
        </w:rPr>
        <w:t>3</w:t>
      </w:r>
      <w:r>
        <w:rPr>
          <w:rFonts w:hint="eastAsia"/>
        </w:rPr>
        <w:t xml:space="preserve">  间接接入电能表原理结构框图（电压端间接接入）</w:t>
      </w:r>
    </w:p>
    <w:p w14:paraId="2E9023ED">
      <w:pPr>
        <w:pStyle w:val="73"/>
        <w:ind w:left="360" w:firstLine="0" w:firstLineChars="0"/>
        <w:jc w:val="center"/>
      </w:pPr>
      <w:r>
        <w:object>
          <v:shape id="_x0000_i1028" o:spt="75" type="#_x0000_t75" style="height:233.05pt;width:397.05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p>
    <w:p w14:paraId="79668243">
      <w:pPr>
        <w:pStyle w:val="73"/>
        <w:ind w:left="360" w:firstLine="0" w:firstLineChars="0"/>
        <w:jc w:val="center"/>
      </w:pPr>
      <w:r>
        <w:rPr>
          <w:rFonts w:hint="eastAsia"/>
        </w:rPr>
        <w:t>图</w:t>
      </w:r>
      <w:r>
        <w:rPr>
          <w:rFonts w:hint="eastAsia" w:ascii="Times New Roman" w:hAnsi="Times New Roman"/>
        </w:rPr>
        <w:t>4</w:t>
      </w:r>
      <w:r>
        <w:rPr>
          <w:rFonts w:hint="eastAsia"/>
        </w:rPr>
        <w:t xml:space="preserve">  间接接入电能表原理结构框图（电流电压端间接接入）</w:t>
      </w:r>
    </w:p>
    <w:p w14:paraId="5CD1AF75">
      <w:pPr>
        <w:pStyle w:val="73"/>
        <w:ind w:left="360" w:firstLine="0" w:firstLineChars="0"/>
        <w:jc w:val="center"/>
      </w:pPr>
    </w:p>
    <w:p w14:paraId="14CF6F7F">
      <w:pPr>
        <w:pStyle w:val="50"/>
        <w:spacing w:line="360" w:lineRule="auto"/>
        <w:ind w:firstLine="0" w:firstLineChars="0"/>
        <w:rPr>
          <w:sz w:val="24"/>
          <w:szCs w:val="24"/>
        </w:rPr>
      </w:pPr>
    </w:p>
    <w:p w14:paraId="74F5198D">
      <w:pPr>
        <w:pStyle w:val="2"/>
      </w:pPr>
      <w:bookmarkStart w:id="21" w:name="_Toc209090335"/>
      <w:r>
        <w:rPr>
          <w:rFonts w:hint="eastAsia"/>
        </w:rPr>
        <w:t>5  计量性能要求</w:t>
      </w:r>
      <w:bookmarkEnd w:id="21"/>
    </w:p>
    <w:p w14:paraId="337068E5">
      <w:pPr>
        <w:pStyle w:val="3"/>
        <w:rPr>
          <w:rFonts w:ascii="Times New Roman" w:hAnsi="Times New Roman"/>
        </w:rPr>
      </w:pPr>
      <w:bookmarkStart w:id="22" w:name="_Toc209090336"/>
      <w:r>
        <w:rPr>
          <w:rFonts w:ascii="Times New Roman" w:hAnsi="Times New Roman"/>
        </w:rPr>
        <w:t>5.1</w:t>
      </w:r>
      <w:r>
        <w:rPr>
          <w:rFonts w:hint="eastAsia" w:ascii="Times New Roman" w:hAnsi="Times New Roman"/>
        </w:rPr>
        <w:t xml:space="preserve">  </w:t>
      </w:r>
      <w:r>
        <w:rPr>
          <w:rFonts w:ascii="Times New Roman" w:hAnsi="Times New Roman"/>
        </w:rPr>
        <w:t>基本误差</w:t>
      </w:r>
      <w:bookmarkEnd w:id="22"/>
    </w:p>
    <w:p w14:paraId="230E4547">
      <w:pPr>
        <w:pStyle w:val="50"/>
        <w:spacing w:line="360" w:lineRule="auto"/>
        <w:ind w:firstLine="480"/>
        <w:rPr>
          <w:rFonts w:ascii="Times New Roman"/>
          <w:sz w:val="24"/>
          <w:szCs w:val="24"/>
        </w:rPr>
      </w:pPr>
      <w:r>
        <w:rPr>
          <w:rFonts w:ascii="Times New Roman"/>
          <w:sz w:val="24"/>
          <w:szCs w:val="24"/>
        </w:rPr>
        <w:t>电能表的误差用相对误差表示。</w:t>
      </w:r>
      <w:r>
        <w:rPr>
          <w:rFonts w:hint="eastAsia" w:ascii="Times New Roman"/>
          <w:sz w:val="24"/>
          <w:szCs w:val="24"/>
        </w:rPr>
        <w:t>在 7.2.1 规定的检定环境参比条件下，电能表的基本误差应满足表 1 规定的最大允许误差要求。</w:t>
      </w:r>
    </w:p>
    <w:p w14:paraId="19CE6589">
      <w:pPr>
        <w:pStyle w:val="50"/>
        <w:spacing w:line="360" w:lineRule="auto"/>
        <w:ind w:firstLine="480"/>
        <w:rPr>
          <w:rFonts w:ascii="Times New Roman"/>
          <w:sz w:val="24"/>
          <w:szCs w:val="24"/>
        </w:rPr>
      </w:pPr>
      <w:r>
        <w:rPr>
          <w:rFonts w:hint="eastAsia" w:ascii="Times New Roman"/>
          <w:sz w:val="24"/>
          <w:szCs w:val="24"/>
        </w:rPr>
        <w:t>若电能表适用于测量双向电能，则表 1 中的规定适用于每一方向的电能测量。</w:t>
      </w:r>
    </w:p>
    <w:p w14:paraId="5B33D678">
      <w:pPr>
        <w:pStyle w:val="51"/>
        <w:numPr>
          <w:ilvl w:val="0"/>
          <w:numId w:val="0"/>
        </w:numPr>
        <w:tabs>
          <w:tab w:val="left" w:pos="360"/>
        </w:tabs>
        <w:spacing w:before="156" w:after="156" w:line="278" w:lineRule="auto"/>
        <w:rPr>
          <w:rFonts w:ascii="Times New Roman"/>
          <w:bCs/>
        </w:rPr>
      </w:pPr>
      <w:bookmarkStart w:id="23" w:name="_Toc142033853"/>
      <w:r>
        <w:rPr>
          <w:rFonts w:ascii="Times New Roman"/>
          <w:bCs/>
        </w:rPr>
        <w:t>表1 基本误差限值</w:t>
      </w:r>
      <w:bookmarkEnd w:id="23"/>
      <w:r>
        <w:rPr>
          <w:rFonts w:ascii="Times New Roman"/>
          <w:bCs/>
        </w:rPr>
        <w:t>（%）</w:t>
      </w:r>
    </w:p>
    <w:tbl>
      <w:tblPr>
        <w:tblStyle w:val="33"/>
        <w:tblW w:w="937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2305"/>
        <w:gridCol w:w="1675"/>
        <w:gridCol w:w="1701"/>
        <w:gridCol w:w="1863"/>
      </w:tblGrid>
      <w:tr w14:paraId="4C4307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vMerge w:val="restart"/>
            <w:tcBorders>
              <w:top w:val="single" w:color="auto" w:sz="8" w:space="0"/>
            </w:tcBorders>
            <w:vAlign w:val="center"/>
          </w:tcPr>
          <w:p w14:paraId="6EB79A2C">
            <w:pPr>
              <w:pStyle w:val="80"/>
              <w:rPr>
                <w:rFonts w:ascii="Times New Roman"/>
              </w:rPr>
            </w:pPr>
            <w:r>
              <w:rPr>
                <w:rFonts w:ascii="Times New Roman"/>
                <w:szCs w:val="18"/>
              </w:rPr>
              <w:t>电流接入方式</w:t>
            </w:r>
          </w:p>
        </w:tc>
        <w:tc>
          <w:tcPr>
            <w:tcW w:w="2305" w:type="dxa"/>
            <w:vMerge w:val="restart"/>
            <w:tcBorders>
              <w:top w:val="single" w:color="auto" w:sz="8" w:space="0"/>
            </w:tcBorders>
            <w:vAlign w:val="center"/>
          </w:tcPr>
          <w:p w14:paraId="14A28F5C">
            <w:pPr>
              <w:pStyle w:val="80"/>
              <w:rPr>
                <w:rFonts w:ascii="Times New Roman"/>
              </w:rPr>
            </w:pPr>
            <w:r>
              <w:rPr>
                <w:rFonts w:ascii="Times New Roman"/>
                <w:szCs w:val="18"/>
              </w:rPr>
              <w:t>电流值</w:t>
            </w:r>
          </w:p>
        </w:tc>
        <w:tc>
          <w:tcPr>
            <w:tcW w:w="5239" w:type="dxa"/>
            <w:gridSpan w:val="3"/>
            <w:tcBorders>
              <w:top w:val="single" w:color="auto" w:sz="8" w:space="0"/>
              <w:bottom w:val="single" w:color="auto" w:sz="8" w:space="0"/>
            </w:tcBorders>
            <w:vAlign w:val="center"/>
          </w:tcPr>
          <w:p w14:paraId="3B627C30">
            <w:pPr>
              <w:pStyle w:val="80"/>
              <w:rPr>
                <w:rFonts w:ascii="Times New Roman"/>
                <w:szCs w:val="18"/>
              </w:rPr>
            </w:pPr>
            <w:r>
              <w:rPr>
                <w:rFonts w:ascii="Times New Roman"/>
                <w:szCs w:val="18"/>
              </w:rPr>
              <w:t>各等级电能表百分数误差限值</w:t>
            </w:r>
          </w:p>
        </w:tc>
      </w:tr>
      <w:tr w14:paraId="789BDC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vMerge w:val="continue"/>
            <w:tcBorders>
              <w:bottom w:val="single" w:color="auto" w:sz="8" w:space="0"/>
            </w:tcBorders>
            <w:vAlign w:val="center"/>
          </w:tcPr>
          <w:p w14:paraId="42710C87">
            <w:pPr>
              <w:pStyle w:val="80"/>
              <w:rPr>
                <w:rFonts w:ascii="Times New Roman"/>
              </w:rPr>
            </w:pPr>
          </w:p>
        </w:tc>
        <w:tc>
          <w:tcPr>
            <w:tcW w:w="2305" w:type="dxa"/>
            <w:vMerge w:val="continue"/>
            <w:tcBorders>
              <w:bottom w:val="single" w:color="auto" w:sz="8" w:space="0"/>
            </w:tcBorders>
            <w:vAlign w:val="center"/>
          </w:tcPr>
          <w:p w14:paraId="05FA7C5A">
            <w:pPr>
              <w:pStyle w:val="80"/>
              <w:rPr>
                <w:rFonts w:ascii="Times New Roman"/>
              </w:rPr>
            </w:pPr>
          </w:p>
        </w:tc>
        <w:tc>
          <w:tcPr>
            <w:tcW w:w="1675" w:type="dxa"/>
            <w:tcBorders>
              <w:top w:val="single" w:color="auto" w:sz="8" w:space="0"/>
              <w:bottom w:val="single" w:color="auto" w:sz="8" w:space="0"/>
            </w:tcBorders>
            <w:vAlign w:val="center"/>
          </w:tcPr>
          <w:p w14:paraId="75812BFC">
            <w:pPr>
              <w:pStyle w:val="80"/>
              <w:rPr>
                <w:rFonts w:ascii="Times New Roman"/>
              </w:rPr>
            </w:pPr>
            <w:r>
              <w:rPr>
                <w:rFonts w:ascii="Times New Roman"/>
                <w:szCs w:val="18"/>
              </w:rPr>
              <w:t>0.2级</w:t>
            </w:r>
          </w:p>
        </w:tc>
        <w:tc>
          <w:tcPr>
            <w:tcW w:w="1701" w:type="dxa"/>
            <w:tcBorders>
              <w:top w:val="single" w:color="auto" w:sz="8" w:space="0"/>
              <w:bottom w:val="single" w:color="auto" w:sz="8" w:space="0"/>
            </w:tcBorders>
            <w:vAlign w:val="center"/>
          </w:tcPr>
          <w:p w14:paraId="77815196">
            <w:pPr>
              <w:pStyle w:val="80"/>
              <w:rPr>
                <w:rFonts w:ascii="Times New Roman"/>
              </w:rPr>
            </w:pPr>
            <w:r>
              <w:rPr>
                <w:rFonts w:ascii="Times New Roman"/>
                <w:szCs w:val="18"/>
              </w:rPr>
              <w:t>0.5级</w:t>
            </w:r>
          </w:p>
        </w:tc>
        <w:tc>
          <w:tcPr>
            <w:tcW w:w="1863" w:type="dxa"/>
            <w:tcBorders>
              <w:top w:val="single" w:color="auto" w:sz="8" w:space="0"/>
              <w:bottom w:val="single" w:color="auto" w:sz="8" w:space="0"/>
            </w:tcBorders>
            <w:vAlign w:val="center"/>
          </w:tcPr>
          <w:p w14:paraId="3723EF30">
            <w:pPr>
              <w:pStyle w:val="80"/>
              <w:rPr>
                <w:rFonts w:ascii="Times New Roman"/>
                <w:szCs w:val="18"/>
              </w:rPr>
            </w:pPr>
            <w:r>
              <w:rPr>
                <w:rFonts w:ascii="Times New Roman"/>
                <w:szCs w:val="18"/>
              </w:rPr>
              <w:t>1级</w:t>
            </w:r>
          </w:p>
        </w:tc>
      </w:tr>
      <w:tr w14:paraId="0664EB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Merge w:val="restart"/>
            <w:tcBorders>
              <w:top w:val="single" w:color="auto" w:sz="8" w:space="0"/>
            </w:tcBorders>
            <w:vAlign w:val="center"/>
          </w:tcPr>
          <w:p w14:paraId="0E661E92">
            <w:pPr>
              <w:pStyle w:val="80"/>
              <w:rPr>
                <w:rFonts w:ascii="Times New Roman"/>
              </w:rPr>
            </w:pPr>
            <w:r>
              <w:rPr>
                <w:rFonts w:ascii="Times New Roman"/>
                <w:szCs w:val="18"/>
              </w:rPr>
              <w:t>直接接入式</w:t>
            </w:r>
          </w:p>
        </w:tc>
        <w:tc>
          <w:tcPr>
            <w:tcW w:w="2305" w:type="dxa"/>
            <w:tcBorders>
              <w:top w:val="single" w:color="auto" w:sz="8" w:space="0"/>
            </w:tcBorders>
            <w:vAlign w:val="center"/>
          </w:tcPr>
          <w:p w14:paraId="7EAF9064">
            <w:pPr>
              <w:pStyle w:val="80"/>
              <w:rPr>
                <w:rFonts w:ascii="Times New Roman"/>
              </w:rPr>
            </w:pPr>
            <w:r>
              <w:rPr>
                <w:rFonts w:ascii="Times New Roman"/>
                <w:i/>
                <w:szCs w:val="18"/>
              </w:rPr>
              <w:t>I</w:t>
            </w:r>
            <w:r>
              <w:rPr>
                <w:rFonts w:ascii="Times New Roman"/>
                <w:szCs w:val="18"/>
                <w:vertAlign w:val="subscript"/>
              </w:rPr>
              <w:t>min</w:t>
            </w:r>
            <w:r>
              <w:rPr>
                <w:rFonts w:ascii="Times New Roman"/>
                <w:szCs w:val="18"/>
              </w:rPr>
              <w:t>≤</w:t>
            </w:r>
            <w:r>
              <w:rPr>
                <w:rFonts w:ascii="Times New Roman"/>
                <w:i/>
                <w:szCs w:val="18"/>
              </w:rPr>
              <w:t>I</w:t>
            </w:r>
            <w:r>
              <w:rPr>
                <w:rFonts w:ascii="Times New Roman"/>
                <w:szCs w:val="18"/>
              </w:rPr>
              <w:t>＜0.1</w:t>
            </w:r>
            <w:r>
              <w:rPr>
                <w:rFonts w:ascii="Times New Roman"/>
                <w:i/>
                <w:szCs w:val="18"/>
              </w:rPr>
              <w:t>I</w:t>
            </w:r>
            <w:r>
              <w:rPr>
                <w:rFonts w:ascii="Times New Roman"/>
                <w:szCs w:val="18"/>
                <w:vertAlign w:val="subscript"/>
              </w:rPr>
              <w:t>n</w:t>
            </w:r>
          </w:p>
        </w:tc>
        <w:tc>
          <w:tcPr>
            <w:tcW w:w="1675" w:type="dxa"/>
            <w:tcBorders>
              <w:top w:val="single" w:color="auto" w:sz="8" w:space="0"/>
            </w:tcBorders>
            <w:vAlign w:val="center"/>
          </w:tcPr>
          <w:p w14:paraId="304345DD">
            <w:pPr>
              <w:pStyle w:val="80"/>
              <w:rPr>
                <w:rFonts w:ascii="Times New Roman"/>
              </w:rPr>
            </w:pPr>
            <w:r>
              <w:rPr>
                <w:rFonts w:ascii="Times New Roman"/>
              </w:rPr>
              <w:t>-</w:t>
            </w:r>
          </w:p>
        </w:tc>
        <w:tc>
          <w:tcPr>
            <w:tcW w:w="1701" w:type="dxa"/>
            <w:tcBorders>
              <w:top w:val="single" w:color="auto" w:sz="8" w:space="0"/>
            </w:tcBorders>
            <w:vAlign w:val="center"/>
          </w:tcPr>
          <w:p w14:paraId="1FDBFABE">
            <w:pPr>
              <w:pStyle w:val="80"/>
              <w:rPr>
                <w:rFonts w:ascii="Times New Roman"/>
              </w:rPr>
            </w:pPr>
            <w:r>
              <w:rPr>
                <w:rFonts w:ascii="Times New Roman"/>
                <w:szCs w:val="18"/>
              </w:rPr>
              <w:t>±1.0</w:t>
            </w:r>
          </w:p>
        </w:tc>
        <w:tc>
          <w:tcPr>
            <w:tcW w:w="1863" w:type="dxa"/>
            <w:tcBorders>
              <w:top w:val="single" w:color="auto" w:sz="8" w:space="0"/>
            </w:tcBorders>
            <w:vAlign w:val="center"/>
          </w:tcPr>
          <w:p w14:paraId="552EFB20">
            <w:pPr>
              <w:pStyle w:val="80"/>
              <w:rPr>
                <w:rFonts w:ascii="Times New Roman"/>
                <w:szCs w:val="18"/>
              </w:rPr>
            </w:pPr>
            <w:r>
              <w:rPr>
                <w:rFonts w:ascii="Times New Roman"/>
                <w:szCs w:val="18"/>
              </w:rPr>
              <w:t>±1.5</w:t>
            </w:r>
          </w:p>
        </w:tc>
      </w:tr>
      <w:tr w14:paraId="659608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Merge w:val="continue"/>
            <w:vAlign w:val="center"/>
          </w:tcPr>
          <w:p w14:paraId="68BE424B">
            <w:pPr>
              <w:pStyle w:val="80"/>
              <w:rPr>
                <w:rFonts w:ascii="Times New Roman"/>
              </w:rPr>
            </w:pPr>
          </w:p>
        </w:tc>
        <w:tc>
          <w:tcPr>
            <w:tcW w:w="2305" w:type="dxa"/>
            <w:vAlign w:val="center"/>
          </w:tcPr>
          <w:p w14:paraId="66021AF9">
            <w:pPr>
              <w:pStyle w:val="80"/>
              <w:rPr>
                <w:rFonts w:ascii="Times New Roman"/>
              </w:rPr>
            </w:pPr>
            <w:r>
              <w:rPr>
                <w:rFonts w:ascii="Times New Roman"/>
                <w:szCs w:val="18"/>
              </w:rPr>
              <w:t>0.1</w:t>
            </w:r>
            <w:r>
              <w:rPr>
                <w:rFonts w:ascii="Times New Roman"/>
                <w:i/>
                <w:szCs w:val="18"/>
              </w:rPr>
              <w:t>I</w:t>
            </w:r>
            <w:r>
              <w:rPr>
                <w:rFonts w:ascii="Times New Roman"/>
                <w:szCs w:val="18"/>
                <w:vertAlign w:val="subscript"/>
              </w:rPr>
              <w:t>n</w:t>
            </w:r>
            <w:r>
              <w:rPr>
                <w:rFonts w:ascii="Times New Roman"/>
                <w:szCs w:val="18"/>
              </w:rPr>
              <w:t>≤</w:t>
            </w:r>
            <w:r>
              <w:rPr>
                <w:rFonts w:ascii="Times New Roman"/>
                <w:i/>
                <w:szCs w:val="18"/>
              </w:rPr>
              <w:t>I</w:t>
            </w:r>
            <w:r>
              <w:rPr>
                <w:rFonts w:ascii="Times New Roman"/>
                <w:szCs w:val="18"/>
              </w:rPr>
              <w:t>＜</w:t>
            </w:r>
            <w:r>
              <w:rPr>
                <w:rFonts w:ascii="Times New Roman"/>
                <w:i/>
                <w:szCs w:val="18"/>
              </w:rPr>
              <w:t>I</w:t>
            </w:r>
            <w:r>
              <w:rPr>
                <w:rFonts w:ascii="Times New Roman"/>
                <w:szCs w:val="18"/>
                <w:vertAlign w:val="subscript"/>
              </w:rPr>
              <w:t>max</w:t>
            </w:r>
          </w:p>
        </w:tc>
        <w:tc>
          <w:tcPr>
            <w:tcW w:w="1675" w:type="dxa"/>
            <w:vAlign w:val="center"/>
          </w:tcPr>
          <w:p w14:paraId="79D1B997">
            <w:pPr>
              <w:pStyle w:val="80"/>
              <w:rPr>
                <w:rFonts w:ascii="Times New Roman"/>
              </w:rPr>
            </w:pPr>
            <w:r>
              <w:rPr>
                <w:rFonts w:ascii="Times New Roman"/>
              </w:rPr>
              <w:t>-</w:t>
            </w:r>
          </w:p>
        </w:tc>
        <w:tc>
          <w:tcPr>
            <w:tcW w:w="1701" w:type="dxa"/>
            <w:vAlign w:val="center"/>
          </w:tcPr>
          <w:p w14:paraId="7DC9CEB6">
            <w:pPr>
              <w:pStyle w:val="80"/>
              <w:rPr>
                <w:rFonts w:ascii="Times New Roman"/>
              </w:rPr>
            </w:pPr>
            <w:r>
              <w:rPr>
                <w:rFonts w:ascii="Times New Roman"/>
                <w:szCs w:val="18"/>
              </w:rPr>
              <w:t>±0.5</w:t>
            </w:r>
          </w:p>
        </w:tc>
        <w:tc>
          <w:tcPr>
            <w:tcW w:w="1863" w:type="dxa"/>
            <w:vAlign w:val="center"/>
          </w:tcPr>
          <w:p w14:paraId="420C1BDF">
            <w:pPr>
              <w:pStyle w:val="80"/>
              <w:rPr>
                <w:rFonts w:ascii="Times New Roman"/>
                <w:szCs w:val="18"/>
              </w:rPr>
            </w:pPr>
            <w:r>
              <w:rPr>
                <w:rFonts w:ascii="Times New Roman"/>
                <w:szCs w:val="18"/>
              </w:rPr>
              <w:t>±1.0</w:t>
            </w:r>
          </w:p>
        </w:tc>
      </w:tr>
      <w:tr w14:paraId="056280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Merge w:val="continue"/>
            <w:vAlign w:val="center"/>
          </w:tcPr>
          <w:p w14:paraId="47C9B7C8">
            <w:pPr>
              <w:pStyle w:val="80"/>
              <w:rPr>
                <w:rFonts w:ascii="Times New Roman"/>
              </w:rPr>
            </w:pPr>
          </w:p>
        </w:tc>
        <w:tc>
          <w:tcPr>
            <w:tcW w:w="2305" w:type="dxa"/>
            <w:vAlign w:val="center"/>
          </w:tcPr>
          <w:p w14:paraId="209C61E1">
            <w:pPr>
              <w:pStyle w:val="80"/>
              <w:rPr>
                <w:rFonts w:ascii="Times New Roman"/>
                <w:szCs w:val="18"/>
                <w:lang w:val="fr-FR"/>
              </w:rPr>
            </w:pPr>
            <w:r>
              <w:rPr>
                <w:rFonts w:ascii="Times New Roman"/>
                <w:i/>
                <w:szCs w:val="18"/>
                <w:lang w:val="fr-FR"/>
              </w:rPr>
              <w:t>I</w:t>
            </w:r>
            <w:r>
              <w:rPr>
                <w:rFonts w:ascii="Times New Roman"/>
                <w:szCs w:val="18"/>
                <w:vertAlign w:val="subscript"/>
                <w:lang w:val="fr-FR"/>
              </w:rPr>
              <w:t>st</w:t>
            </w:r>
            <w:r>
              <w:rPr>
                <w:rFonts w:ascii="Times New Roman"/>
                <w:szCs w:val="18"/>
                <w:lang w:val="fr-FR"/>
              </w:rPr>
              <w:t>≤</w:t>
            </w:r>
            <w:r>
              <w:rPr>
                <w:rFonts w:ascii="Times New Roman"/>
                <w:i/>
                <w:szCs w:val="18"/>
                <w:lang w:val="fr-FR"/>
              </w:rPr>
              <w:t>I</w:t>
            </w:r>
            <w:r>
              <w:rPr>
                <w:rFonts w:ascii="Times New Roman"/>
                <w:szCs w:val="18"/>
                <w:lang w:val="fr-FR"/>
              </w:rPr>
              <w:t>＜</w:t>
            </w:r>
            <w:r>
              <w:rPr>
                <w:rFonts w:ascii="Times New Roman"/>
                <w:i/>
                <w:szCs w:val="18"/>
                <w:lang w:val="fr-FR"/>
              </w:rPr>
              <w:t>I</w:t>
            </w:r>
            <w:r>
              <w:rPr>
                <w:rFonts w:ascii="Times New Roman"/>
                <w:szCs w:val="18"/>
                <w:vertAlign w:val="subscript"/>
                <w:lang w:val="fr-FR"/>
              </w:rPr>
              <w:t>min</w:t>
            </w:r>
          </w:p>
        </w:tc>
        <w:tc>
          <w:tcPr>
            <w:tcW w:w="1675" w:type="dxa"/>
            <w:vAlign w:val="center"/>
          </w:tcPr>
          <w:p w14:paraId="2A63AFA2">
            <w:pPr>
              <w:pStyle w:val="80"/>
              <w:rPr>
                <w:rFonts w:ascii="Times New Roman"/>
                <w:szCs w:val="18"/>
                <w:lang w:val="fr-FR"/>
              </w:rPr>
            </w:pPr>
            <w:r>
              <w:rPr>
                <w:rFonts w:ascii="Times New Roman"/>
              </w:rPr>
              <w:t>-</w:t>
            </w:r>
          </w:p>
        </w:tc>
        <w:tc>
          <w:tcPr>
            <w:tcW w:w="1701" w:type="dxa"/>
          </w:tcPr>
          <w:p w14:paraId="4D55AAD9">
            <w:pPr>
              <w:pStyle w:val="80"/>
              <w:rPr>
                <w:rFonts w:ascii="Times New Roman"/>
                <w:szCs w:val="18"/>
                <w:lang w:val="fr-FR"/>
              </w:rPr>
            </w:pPr>
            <w:r>
              <w:rPr>
                <w:rFonts w:ascii="Times New Roman"/>
                <w:szCs w:val="18"/>
              </w:rPr>
              <w:t>±1.0</w:t>
            </w:r>
            <m:oMath>
              <m:r>
                <m:rPr/>
                <w:rPr>
                  <w:rFonts w:ascii="Cambria Math" w:hAnsi="Cambria Math"/>
                  <w:szCs w:val="18"/>
                </w:rPr>
                <m:t>∙</m:t>
              </m:r>
            </m:oMath>
            <w:r>
              <w:rPr>
                <w:rFonts w:ascii="Times New Roman"/>
                <w:i/>
                <w:szCs w:val="18"/>
                <w:lang w:val="fr-FR"/>
              </w:rPr>
              <w:t>I</w:t>
            </w:r>
            <w:r>
              <w:rPr>
                <w:rFonts w:ascii="Times New Roman"/>
                <w:szCs w:val="18"/>
                <w:vertAlign w:val="subscript"/>
                <w:lang w:val="fr-FR"/>
              </w:rPr>
              <w:t>min</w:t>
            </w:r>
            <w:r>
              <w:rPr>
                <w:rFonts w:ascii="Times New Roman"/>
                <w:szCs w:val="18"/>
                <w:lang w:val="fr-FR"/>
              </w:rPr>
              <w:t>/</w:t>
            </w:r>
            <w:r>
              <w:rPr>
                <w:rFonts w:ascii="Times New Roman"/>
                <w:i/>
                <w:szCs w:val="18"/>
              </w:rPr>
              <w:t>I</w:t>
            </w:r>
          </w:p>
        </w:tc>
        <w:tc>
          <w:tcPr>
            <w:tcW w:w="1863" w:type="dxa"/>
          </w:tcPr>
          <w:p w14:paraId="6A882E3B">
            <w:pPr>
              <w:pStyle w:val="80"/>
              <w:rPr>
                <w:rFonts w:ascii="Times New Roman"/>
                <w:szCs w:val="18"/>
                <w:lang w:val="fr-FR"/>
              </w:rPr>
            </w:pPr>
            <w:r>
              <w:rPr>
                <w:rFonts w:ascii="Times New Roman"/>
                <w:szCs w:val="18"/>
              </w:rPr>
              <w:t>±1.5</w:t>
            </w:r>
            <m:oMath>
              <m:r>
                <m:rPr/>
                <w:rPr>
                  <w:rFonts w:ascii="Cambria Math" w:hAnsi="Cambria Math"/>
                  <w:szCs w:val="18"/>
                </w:rPr>
                <m:t>∙</m:t>
              </m:r>
            </m:oMath>
            <w:r>
              <w:rPr>
                <w:rFonts w:ascii="Times New Roman"/>
                <w:i/>
                <w:szCs w:val="18"/>
                <w:lang w:val="fr-FR"/>
              </w:rPr>
              <w:t>I</w:t>
            </w:r>
            <w:r>
              <w:rPr>
                <w:rFonts w:ascii="Times New Roman"/>
                <w:szCs w:val="18"/>
                <w:vertAlign w:val="subscript"/>
                <w:lang w:val="fr-FR"/>
              </w:rPr>
              <w:t>min</w:t>
            </w:r>
            <w:r>
              <w:rPr>
                <w:rFonts w:ascii="Times New Roman"/>
                <w:szCs w:val="18"/>
                <w:lang w:val="fr-FR"/>
              </w:rPr>
              <w:t>/</w:t>
            </w:r>
            <w:r>
              <w:rPr>
                <w:rFonts w:ascii="Times New Roman"/>
                <w:i/>
                <w:szCs w:val="18"/>
              </w:rPr>
              <w:t>I</w:t>
            </w:r>
          </w:p>
        </w:tc>
      </w:tr>
      <w:tr w14:paraId="0D4532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Merge w:val="restart"/>
            <w:vAlign w:val="center"/>
          </w:tcPr>
          <w:p w14:paraId="2EF20E22">
            <w:pPr>
              <w:pStyle w:val="80"/>
              <w:rPr>
                <w:rFonts w:ascii="Times New Roman"/>
              </w:rPr>
            </w:pPr>
            <w:r>
              <w:rPr>
                <w:rFonts w:ascii="Times New Roman"/>
                <w:szCs w:val="18"/>
              </w:rPr>
              <w:t>间接接入式</w:t>
            </w:r>
          </w:p>
        </w:tc>
        <w:tc>
          <w:tcPr>
            <w:tcW w:w="2305" w:type="dxa"/>
            <w:tcBorders>
              <w:bottom w:val="single" w:color="auto" w:sz="4" w:space="0"/>
            </w:tcBorders>
            <w:vAlign w:val="center"/>
          </w:tcPr>
          <w:p w14:paraId="1714F3AA">
            <w:pPr>
              <w:pStyle w:val="80"/>
              <w:rPr>
                <w:rFonts w:ascii="Times New Roman"/>
              </w:rPr>
            </w:pPr>
            <w:r>
              <w:rPr>
                <w:rFonts w:ascii="Times New Roman"/>
                <w:i/>
                <w:szCs w:val="18"/>
              </w:rPr>
              <w:t>I</w:t>
            </w:r>
            <w:r>
              <w:rPr>
                <w:rFonts w:ascii="Times New Roman"/>
                <w:szCs w:val="18"/>
                <w:vertAlign w:val="subscript"/>
              </w:rPr>
              <w:t>min</w:t>
            </w:r>
            <w:r>
              <w:rPr>
                <w:rFonts w:ascii="Times New Roman"/>
                <w:szCs w:val="18"/>
              </w:rPr>
              <w:t>≤</w:t>
            </w:r>
            <w:r>
              <w:rPr>
                <w:rFonts w:ascii="Times New Roman"/>
                <w:i/>
                <w:szCs w:val="18"/>
              </w:rPr>
              <w:t>I</w:t>
            </w:r>
            <w:r>
              <w:rPr>
                <w:rFonts w:ascii="Times New Roman"/>
                <w:szCs w:val="18"/>
              </w:rPr>
              <w:t xml:space="preserve">＜0.05 </w:t>
            </w:r>
            <w:r>
              <w:rPr>
                <w:rFonts w:ascii="Times New Roman"/>
                <w:i/>
                <w:szCs w:val="18"/>
              </w:rPr>
              <w:t>I</w:t>
            </w:r>
            <w:r>
              <w:rPr>
                <w:rFonts w:ascii="Times New Roman"/>
                <w:szCs w:val="18"/>
                <w:vertAlign w:val="subscript"/>
              </w:rPr>
              <w:t>n</w:t>
            </w:r>
          </w:p>
        </w:tc>
        <w:tc>
          <w:tcPr>
            <w:tcW w:w="1675" w:type="dxa"/>
            <w:tcBorders>
              <w:bottom w:val="single" w:color="auto" w:sz="4" w:space="0"/>
            </w:tcBorders>
            <w:vAlign w:val="center"/>
          </w:tcPr>
          <w:p w14:paraId="19D474E9">
            <w:pPr>
              <w:pStyle w:val="80"/>
              <w:rPr>
                <w:rFonts w:ascii="Times New Roman"/>
              </w:rPr>
            </w:pPr>
            <w:r>
              <w:rPr>
                <w:rFonts w:ascii="Times New Roman"/>
                <w:szCs w:val="18"/>
              </w:rPr>
              <w:t>±0.4</w:t>
            </w:r>
          </w:p>
        </w:tc>
        <w:tc>
          <w:tcPr>
            <w:tcW w:w="1701" w:type="dxa"/>
            <w:tcBorders>
              <w:bottom w:val="single" w:color="auto" w:sz="4" w:space="0"/>
            </w:tcBorders>
            <w:vAlign w:val="center"/>
          </w:tcPr>
          <w:p w14:paraId="0695D24F">
            <w:pPr>
              <w:pStyle w:val="80"/>
              <w:rPr>
                <w:rFonts w:ascii="Times New Roman"/>
              </w:rPr>
            </w:pPr>
            <w:r>
              <w:rPr>
                <w:rFonts w:ascii="Times New Roman"/>
                <w:szCs w:val="18"/>
              </w:rPr>
              <w:t>±1.0</w:t>
            </w:r>
          </w:p>
        </w:tc>
        <w:tc>
          <w:tcPr>
            <w:tcW w:w="1863" w:type="dxa"/>
            <w:tcBorders>
              <w:bottom w:val="single" w:color="auto" w:sz="4" w:space="0"/>
            </w:tcBorders>
          </w:tcPr>
          <w:p w14:paraId="3CB1D500">
            <w:pPr>
              <w:pStyle w:val="80"/>
              <w:rPr>
                <w:rFonts w:ascii="Times New Roman"/>
                <w:szCs w:val="18"/>
              </w:rPr>
            </w:pPr>
            <w:r>
              <w:rPr>
                <w:rFonts w:ascii="Times New Roman"/>
                <w:szCs w:val="18"/>
              </w:rPr>
              <w:t>±1.5</w:t>
            </w:r>
          </w:p>
        </w:tc>
      </w:tr>
      <w:tr w14:paraId="3A2CE6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Merge w:val="continue"/>
            <w:vAlign w:val="center"/>
          </w:tcPr>
          <w:p w14:paraId="32B2EA01">
            <w:pPr>
              <w:pStyle w:val="80"/>
              <w:rPr>
                <w:rFonts w:ascii="Times New Roman"/>
              </w:rPr>
            </w:pPr>
          </w:p>
        </w:tc>
        <w:tc>
          <w:tcPr>
            <w:tcW w:w="2305" w:type="dxa"/>
            <w:tcBorders>
              <w:top w:val="single" w:color="auto" w:sz="4" w:space="0"/>
              <w:bottom w:val="single" w:color="auto" w:sz="2" w:space="0"/>
              <w:right w:val="single" w:color="auto" w:sz="2" w:space="0"/>
            </w:tcBorders>
            <w:vAlign w:val="center"/>
          </w:tcPr>
          <w:p w14:paraId="14C7FAB6">
            <w:pPr>
              <w:pStyle w:val="80"/>
              <w:rPr>
                <w:rFonts w:ascii="Times New Roman"/>
              </w:rPr>
            </w:pPr>
            <w:r>
              <w:rPr>
                <w:rFonts w:ascii="Times New Roman"/>
                <w:szCs w:val="18"/>
              </w:rPr>
              <w:t xml:space="preserve">0.05 </w:t>
            </w:r>
            <w:r>
              <w:rPr>
                <w:rFonts w:ascii="Times New Roman"/>
                <w:i/>
                <w:szCs w:val="18"/>
              </w:rPr>
              <w:t>I</w:t>
            </w:r>
            <w:r>
              <w:rPr>
                <w:rFonts w:ascii="Times New Roman"/>
                <w:szCs w:val="18"/>
                <w:vertAlign w:val="subscript"/>
              </w:rPr>
              <w:t>n</w:t>
            </w:r>
            <w:r>
              <w:rPr>
                <w:rFonts w:ascii="Times New Roman"/>
                <w:szCs w:val="18"/>
              </w:rPr>
              <w:t>≤</w:t>
            </w:r>
            <w:r>
              <w:rPr>
                <w:rFonts w:ascii="Times New Roman"/>
                <w:i/>
                <w:szCs w:val="18"/>
              </w:rPr>
              <w:t>I</w:t>
            </w:r>
            <w:r>
              <w:rPr>
                <w:rFonts w:ascii="Times New Roman"/>
                <w:szCs w:val="18"/>
              </w:rPr>
              <w:t>≤</w:t>
            </w:r>
            <w:r>
              <w:rPr>
                <w:rFonts w:ascii="Times New Roman"/>
                <w:i/>
                <w:szCs w:val="18"/>
              </w:rPr>
              <w:t>I</w:t>
            </w:r>
            <w:r>
              <w:rPr>
                <w:rFonts w:ascii="Times New Roman"/>
                <w:szCs w:val="18"/>
                <w:vertAlign w:val="subscript"/>
              </w:rPr>
              <w:t>max</w:t>
            </w:r>
          </w:p>
        </w:tc>
        <w:tc>
          <w:tcPr>
            <w:tcW w:w="1675" w:type="dxa"/>
            <w:tcBorders>
              <w:top w:val="single" w:color="auto" w:sz="4" w:space="0"/>
              <w:left w:val="single" w:color="auto" w:sz="2" w:space="0"/>
              <w:bottom w:val="single" w:color="auto" w:sz="2" w:space="0"/>
              <w:right w:val="single" w:color="auto" w:sz="2" w:space="0"/>
            </w:tcBorders>
            <w:vAlign w:val="center"/>
          </w:tcPr>
          <w:p w14:paraId="56E9E37E">
            <w:pPr>
              <w:pStyle w:val="80"/>
              <w:rPr>
                <w:rFonts w:ascii="Times New Roman"/>
              </w:rPr>
            </w:pPr>
            <w:r>
              <w:rPr>
                <w:rFonts w:ascii="Times New Roman"/>
                <w:szCs w:val="18"/>
              </w:rPr>
              <w:t>±0.2</w:t>
            </w:r>
          </w:p>
        </w:tc>
        <w:tc>
          <w:tcPr>
            <w:tcW w:w="1701" w:type="dxa"/>
            <w:tcBorders>
              <w:top w:val="single" w:color="auto" w:sz="4" w:space="0"/>
              <w:left w:val="single" w:color="auto" w:sz="2" w:space="0"/>
              <w:bottom w:val="single" w:color="auto" w:sz="2" w:space="0"/>
              <w:right w:val="single" w:color="auto" w:sz="2" w:space="0"/>
            </w:tcBorders>
            <w:vAlign w:val="center"/>
          </w:tcPr>
          <w:p w14:paraId="65C94EA2">
            <w:pPr>
              <w:pStyle w:val="80"/>
              <w:rPr>
                <w:rFonts w:ascii="Times New Roman"/>
              </w:rPr>
            </w:pPr>
            <w:r>
              <w:rPr>
                <w:rFonts w:ascii="Times New Roman"/>
                <w:szCs w:val="18"/>
              </w:rPr>
              <w:t>±0.5</w:t>
            </w:r>
          </w:p>
        </w:tc>
        <w:tc>
          <w:tcPr>
            <w:tcW w:w="1863" w:type="dxa"/>
            <w:tcBorders>
              <w:top w:val="single" w:color="auto" w:sz="4" w:space="0"/>
              <w:left w:val="single" w:color="auto" w:sz="2" w:space="0"/>
              <w:bottom w:val="single" w:color="auto" w:sz="2" w:space="0"/>
            </w:tcBorders>
          </w:tcPr>
          <w:p w14:paraId="76DA9256">
            <w:pPr>
              <w:pStyle w:val="80"/>
              <w:rPr>
                <w:rFonts w:ascii="Times New Roman"/>
                <w:szCs w:val="18"/>
              </w:rPr>
            </w:pPr>
            <w:r>
              <w:rPr>
                <w:rFonts w:ascii="Times New Roman"/>
                <w:szCs w:val="18"/>
              </w:rPr>
              <w:t>±1.0</w:t>
            </w:r>
          </w:p>
        </w:tc>
      </w:tr>
      <w:tr w14:paraId="2FFB0C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vMerge w:val="continue"/>
            <w:vAlign w:val="center"/>
          </w:tcPr>
          <w:p w14:paraId="678A0C93">
            <w:pPr>
              <w:pStyle w:val="80"/>
              <w:rPr>
                <w:rFonts w:ascii="Times New Roman"/>
              </w:rPr>
            </w:pPr>
          </w:p>
        </w:tc>
        <w:tc>
          <w:tcPr>
            <w:tcW w:w="2305" w:type="dxa"/>
            <w:tcBorders>
              <w:top w:val="single" w:color="auto" w:sz="2" w:space="0"/>
              <w:bottom w:val="single" w:color="auto" w:sz="2" w:space="0"/>
              <w:right w:val="single" w:color="auto" w:sz="2" w:space="0"/>
            </w:tcBorders>
            <w:vAlign w:val="center"/>
          </w:tcPr>
          <w:p w14:paraId="36114FC0">
            <w:pPr>
              <w:pStyle w:val="80"/>
              <w:rPr>
                <w:rFonts w:ascii="Times New Roman"/>
                <w:szCs w:val="18"/>
                <w:lang w:val="fr-FR"/>
              </w:rPr>
            </w:pPr>
            <w:r>
              <w:rPr>
                <w:rFonts w:ascii="Times New Roman"/>
                <w:i/>
                <w:szCs w:val="18"/>
                <w:lang w:val="fr-FR"/>
              </w:rPr>
              <w:t>I</w:t>
            </w:r>
            <w:r>
              <w:rPr>
                <w:rFonts w:ascii="Times New Roman"/>
                <w:szCs w:val="18"/>
                <w:vertAlign w:val="subscript"/>
                <w:lang w:val="fr-FR"/>
              </w:rPr>
              <w:t>st</w:t>
            </w:r>
            <w:r>
              <w:rPr>
                <w:rFonts w:ascii="Times New Roman"/>
                <w:szCs w:val="18"/>
                <w:lang w:val="fr-FR"/>
              </w:rPr>
              <w:t>≤</w:t>
            </w:r>
            <w:r>
              <w:rPr>
                <w:rFonts w:ascii="Times New Roman"/>
                <w:i/>
                <w:szCs w:val="18"/>
                <w:lang w:val="fr-FR"/>
              </w:rPr>
              <w:t>I</w:t>
            </w:r>
            <w:r>
              <w:rPr>
                <w:rFonts w:ascii="Times New Roman"/>
                <w:szCs w:val="18"/>
                <w:lang w:val="fr-FR"/>
              </w:rPr>
              <w:t>＜</w:t>
            </w:r>
            <w:r>
              <w:rPr>
                <w:rFonts w:ascii="Times New Roman"/>
                <w:i/>
                <w:szCs w:val="18"/>
                <w:lang w:val="fr-FR"/>
              </w:rPr>
              <w:t>I</w:t>
            </w:r>
            <w:r>
              <w:rPr>
                <w:rFonts w:ascii="Times New Roman"/>
                <w:szCs w:val="18"/>
                <w:vertAlign w:val="subscript"/>
                <w:lang w:val="fr-FR"/>
              </w:rPr>
              <w:t>min</w:t>
            </w:r>
          </w:p>
        </w:tc>
        <w:tc>
          <w:tcPr>
            <w:tcW w:w="1675" w:type="dxa"/>
            <w:tcBorders>
              <w:top w:val="single" w:color="auto" w:sz="2" w:space="0"/>
              <w:left w:val="single" w:color="auto" w:sz="2" w:space="0"/>
              <w:bottom w:val="single" w:color="auto" w:sz="2" w:space="0"/>
              <w:right w:val="single" w:color="auto" w:sz="2" w:space="0"/>
            </w:tcBorders>
            <w:vAlign w:val="center"/>
          </w:tcPr>
          <w:p w14:paraId="512D4540">
            <w:pPr>
              <w:pStyle w:val="80"/>
              <w:rPr>
                <w:rFonts w:ascii="Times New Roman"/>
                <w:szCs w:val="18"/>
              </w:rPr>
            </w:pPr>
            <w:r>
              <w:rPr>
                <w:rFonts w:ascii="Times New Roman"/>
                <w:szCs w:val="18"/>
              </w:rPr>
              <w:t>±0.4</w:t>
            </w:r>
            <m:oMath>
              <m:r>
                <m:rPr/>
                <w:rPr>
                  <w:rFonts w:ascii="Cambria Math" w:hAnsi="Cambria Math"/>
                  <w:szCs w:val="18"/>
                </w:rPr>
                <m:t>∙</m:t>
              </m:r>
            </m:oMath>
            <w:r>
              <w:rPr>
                <w:rFonts w:ascii="Times New Roman"/>
                <w:i/>
                <w:szCs w:val="18"/>
                <w:lang w:val="fr-FR"/>
              </w:rPr>
              <w:t>I</w:t>
            </w:r>
            <w:r>
              <w:rPr>
                <w:rFonts w:ascii="Times New Roman"/>
                <w:szCs w:val="18"/>
                <w:vertAlign w:val="subscript"/>
                <w:lang w:val="fr-FR"/>
              </w:rPr>
              <w:t>min</w:t>
            </w:r>
            <w:r>
              <w:rPr>
                <w:rFonts w:ascii="Times New Roman"/>
                <w:szCs w:val="18"/>
                <w:lang w:val="fr-FR"/>
              </w:rPr>
              <w:t>/</w:t>
            </w:r>
            <w:r>
              <w:rPr>
                <w:rFonts w:ascii="Times New Roman"/>
                <w:i/>
                <w:szCs w:val="18"/>
              </w:rPr>
              <w:t>I</w:t>
            </w:r>
          </w:p>
        </w:tc>
        <w:tc>
          <w:tcPr>
            <w:tcW w:w="1701" w:type="dxa"/>
            <w:tcBorders>
              <w:top w:val="single" w:color="auto" w:sz="2" w:space="0"/>
              <w:left w:val="single" w:color="auto" w:sz="2" w:space="0"/>
              <w:bottom w:val="single" w:color="auto" w:sz="2" w:space="0"/>
              <w:right w:val="single" w:color="auto" w:sz="2" w:space="0"/>
            </w:tcBorders>
          </w:tcPr>
          <w:p w14:paraId="50C6938C">
            <w:pPr>
              <w:pStyle w:val="80"/>
              <w:rPr>
                <w:rFonts w:ascii="Times New Roman"/>
                <w:szCs w:val="18"/>
              </w:rPr>
            </w:pPr>
            <w:r>
              <w:rPr>
                <w:rFonts w:ascii="Times New Roman"/>
                <w:szCs w:val="18"/>
              </w:rPr>
              <w:t>±1.0</w:t>
            </w:r>
            <m:oMath>
              <m:r>
                <m:rPr/>
                <w:rPr>
                  <w:rFonts w:ascii="Cambria Math" w:hAnsi="Cambria Math"/>
                  <w:szCs w:val="18"/>
                </w:rPr>
                <m:t>∙</m:t>
              </m:r>
            </m:oMath>
            <w:r>
              <w:rPr>
                <w:rFonts w:ascii="Times New Roman"/>
                <w:i/>
                <w:szCs w:val="18"/>
                <w:lang w:val="fr-FR"/>
              </w:rPr>
              <w:t>I</w:t>
            </w:r>
            <w:r>
              <w:rPr>
                <w:rFonts w:ascii="Times New Roman"/>
                <w:szCs w:val="18"/>
                <w:vertAlign w:val="subscript"/>
                <w:lang w:val="fr-FR"/>
              </w:rPr>
              <w:t>min</w:t>
            </w:r>
            <w:r>
              <w:rPr>
                <w:rFonts w:ascii="Times New Roman"/>
                <w:szCs w:val="18"/>
                <w:lang w:val="fr-FR"/>
              </w:rPr>
              <w:t>/</w:t>
            </w:r>
            <w:r>
              <w:rPr>
                <w:rFonts w:ascii="Times New Roman"/>
                <w:i/>
                <w:szCs w:val="18"/>
              </w:rPr>
              <w:t>I</w:t>
            </w:r>
          </w:p>
        </w:tc>
        <w:tc>
          <w:tcPr>
            <w:tcW w:w="1863" w:type="dxa"/>
            <w:tcBorders>
              <w:top w:val="single" w:color="auto" w:sz="2" w:space="0"/>
              <w:left w:val="single" w:color="auto" w:sz="2" w:space="0"/>
              <w:bottom w:val="single" w:color="auto" w:sz="2" w:space="0"/>
            </w:tcBorders>
          </w:tcPr>
          <w:p w14:paraId="6D173FE4">
            <w:pPr>
              <w:pStyle w:val="80"/>
              <w:rPr>
                <w:rFonts w:ascii="Times New Roman"/>
                <w:szCs w:val="18"/>
              </w:rPr>
            </w:pPr>
            <w:r>
              <w:rPr>
                <w:rFonts w:ascii="Times New Roman"/>
                <w:szCs w:val="18"/>
              </w:rPr>
              <w:t>±1.5</w:t>
            </w:r>
            <m:oMath>
              <m:r>
                <m:rPr/>
                <w:rPr>
                  <w:rFonts w:ascii="Cambria Math" w:hAnsi="Cambria Math"/>
                  <w:szCs w:val="18"/>
                </w:rPr>
                <m:t>∙</m:t>
              </m:r>
            </m:oMath>
            <w:r>
              <w:rPr>
                <w:rFonts w:ascii="Times New Roman"/>
                <w:i/>
                <w:szCs w:val="18"/>
                <w:lang w:val="fr-FR"/>
              </w:rPr>
              <w:t>I</w:t>
            </w:r>
            <w:r>
              <w:rPr>
                <w:rFonts w:ascii="Times New Roman"/>
                <w:szCs w:val="18"/>
                <w:vertAlign w:val="subscript"/>
                <w:lang w:val="fr-FR"/>
              </w:rPr>
              <w:t>min</w:t>
            </w:r>
            <w:r>
              <w:rPr>
                <w:rFonts w:ascii="Times New Roman"/>
                <w:szCs w:val="18"/>
                <w:lang w:val="fr-FR"/>
              </w:rPr>
              <w:t>/</w:t>
            </w:r>
            <w:r>
              <w:rPr>
                <w:rFonts w:ascii="Times New Roman"/>
                <w:i/>
                <w:szCs w:val="18"/>
              </w:rPr>
              <w:t>I</w:t>
            </w:r>
          </w:p>
        </w:tc>
      </w:tr>
      <w:tr w14:paraId="0EC018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7" w:type="dxa"/>
            <w:gridSpan w:val="5"/>
            <w:tcBorders>
              <w:bottom w:val="single" w:color="auto" w:sz="8" w:space="0"/>
            </w:tcBorders>
            <w:vAlign w:val="center"/>
          </w:tcPr>
          <w:p w14:paraId="5BD4D36E">
            <w:pPr>
              <w:pStyle w:val="80"/>
              <w:jc w:val="left"/>
              <w:rPr>
                <w:rFonts w:ascii="Times New Roman"/>
                <w:szCs w:val="18"/>
              </w:rPr>
            </w:pPr>
            <w:r>
              <w:rPr>
                <w:rFonts w:ascii="Times New Roman"/>
                <w:szCs w:val="18"/>
              </w:rPr>
              <w:t>注：</w:t>
            </w:r>
            <w:r>
              <w:rPr>
                <w:rFonts w:ascii="Times New Roman"/>
                <w:i/>
                <w:szCs w:val="18"/>
              </w:rPr>
              <w:t>I</w:t>
            </w:r>
            <w:r>
              <w:rPr>
                <w:rFonts w:ascii="Times New Roman"/>
                <w:szCs w:val="18"/>
                <w:vertAlign w:val="subscript"/>
              </w:rPr>
              <w:t>n</w:t>
            </w:r>
            <w:r>
              <w:rPr>
                <w:rFonts w:ascii="Times New Roman"/>
                <w:szCs w:val="18"/>
              </w:rPr>
              <w:t xml:space="preserve"> 为标称电流，</w:t>
            </w:r>
            <w:r>
              <w:rPr>
                <w:rFonts w:ascii="Times New Roman"/>
                <w:i/>
                <w:szCs w:val="18"/>
                <w:lang w:val="fr-FR"/>
              </w:rPr>
              <w:t>I</w:t>
            </w:r>
            <w:r>
              <w:rPr>
                <w:rFonts w:ascii="Times New Roman"/>
                <w:szCs w:val="18"/>
                <w:vertAlign w:val="subscript"/>
                <w:lang w:val="fr-FR"/>
              </w:rPr>
              <w:t>min</w:t>
            </w:r>
            <w:r>
              <w:rPr>
                <w:rFonts w:ascii="Times New Roman"/>
                <w:szCs w:val="18"/>
                <w:lang w:val="fr-FR"/>
              </w:rPr>
              <w:t xml:space="preserve"> 为最小电流，</w:t>
            </w:r>
            <w:r>
              <w:rPr>
                <w:rFonts w:ascii="Times New Roman"/>
                <w:i/>
                <w:szCs w:val="18"/>
                <w:lang w:val="fr-FR"/>
              </w:rPr>
              <w:t>I</w:t>
            </w:r>
            <w:r>
              <w:rPr>
                <w:rFonts w:ascii="Times New Roman"/>
                <w:szCs w:val="18"/>
                <w:vertAlign w:val="subscript"/>
                <w:lang w:val="fr-FR"/>
              </w:rPr>
              <w:t>st</w:t>
            </w:r>
            <w:r>
              <w:rPr>
                <w:rFonts w:ascii="Times New Roman"/>
                <w:szCs w:val="18"/>
                <w:lang w:val="fr-FR"/>
              </w:rPr>
              <w:t xml:space="preserve"> 为起动电流，</w:t>
            </w:r>
            <w:r>
              <w:rPr>
                <w:rFonts w:ascii="Times New Roman"/>
                <w:i/>
                <w:szCs w:val="18"/>
              </w:rPr>
              <w:t>I</w:t>
            </w:r>
            <w:r>
              <w:rPr>
                <w:rFonts w:ascii="Times New Roman"/>
                <w:szCs w:val="18"/>
                <w:vertAlign w:val="subscript"/>
              </w:rPr>
              <w:t>max</w:t>
            </w:r>
            <w:r>
              <w:rPr>
                <w:rFonts w:ascii="Times New Roman"/>
                <w:szCs w:val="18"/>
              </w:rPr>
              <w:t xml:space="preserve"> 为最大电流。</w:t>
            </w:r>
          </w:p>
        </w:tc>
      </w:tr>
    </w:tbl>
    <w:p w14:paraId="6F329F89">
      <w:pPr>
        <w:rPr>
          <w:rFonts w:hint="eastAsia"/>
        </w:rPr>
      </w:pPr>
    </w:p>
    <w:p w14:paraId="7A74E3AB">
      <w:pPr>
        <w:pStyle w:val="3"/>
        <w:rPr>
          <w:rFonts w:ascii="Times New Roman" w:hAnsi="Times New Roman"/>
        </w:rPr>
      </w:pPr>
      <w:bookmarkStart w:id="24" w:name="_Toc209090337"/>
      <w:r>
        <w:rPr>
          <w:rFonts w:ascii="Times New Roman" w:hAnsi="Times New Roman"/>
        </w:rPr>
        <w:t>5.2</w:t>
      </w:r>
      <w:r>
        <w:rPr>
          <w:rFonts w:hint="eastAsia" w:ascii="Times New Roman" w:hAnsi="Times New Roman"/>
        </w:rPr>
        <w:t xml:space="preserve">  无负载状态试验</w:t>
      </w:r>
      <w:bookmarkEnd w:id="24"/>
    </w:p>
    <w:p w14:paraId="714F0616">
      <w:pPr>
        <w:pStyle w:val="58"/>
        <w:shd w:val="clear" w:color="auto" w:fill="auto"/>
        <w:spacing w:line="360" w:lineRule="auto"/>
        <w:ind w:left="20" w:right="20" w:firstLine="440"/>
        <w:jc w:val="both"/>
        <w:rPr>
          <w:rFonts w:ascii="Times New Roman" w:hAnsi="Times New Roman" w:eastAsia="宋体"/>
          <w:kern w:val="2"/>
          <w:sz w:val="24"/>
          <w:szCs w:val="20"/>
        </w:rPr>
      </w:pPr>
      <w:r>
        <w:rPr>
          <w:rFonts w:ascii="Times New Roman" w:hAnsi="Times New Roman" w:eastAsia="宋体"/>
          <w:kern w:val="2"/>
          <w:sz w:val="24"/>
          <w:szCs w:val="20"/>
        </w:rPr>
        <w:t>电流线路不加电流，电压线路施加</w:t>
      </w:r>
      <w:r>
        <w:rPr>
          <w:rFonts w:hint="eastAsia" w:ascii="Times New Roman" w:hAnsi="Times New Roman" w:eastAsia="宋体"/>
          <w:kern w:val="2"/>
          <w:sz w:val="24"/>
          <w:szCs w:val="20"/>
          <w:lang w:eastAsia="zh-CN"/>
        </w:rPr>
        <w:t>110</w:t>
      </w:r>
      <w:r>
        <w:rPr>
          <w:rFonts w:ascii="Times New Roman" w:hAnsi="Times New Roman" w:eastAsia="宋体"/>
          <w:kern w:val="2"/>
          <w:sz w:val="24"/>
          <w:szCs w:val="20"/>
        </w:rPr>
        <w:t>%</w:t>
      </w:r>
      <w:r>
        <w:rPr>
          <w:rFonts w:hint="eastAsia" w:ascii="Times New Roman" w:hAnsi="Times New Roman" w:eastAsia="宋体"/>
          <w:kern w:val="2"/>
          <w:sz w:val="24"/>
          <w:szCs w:val="20"/>
          <w:lang w:eastAsia="zh-CN"/>
        </w:rPr>
        <w:t>标称电压，电能表的测试输出在规定的时限内不应产生多于一个的脉冲。</w:t>
      </w:r>
    </w:p>
    <w:p w14:paraId="7FA97AA4">
      <w:pPr>
        <w:pStyle w:val="3"/>
        <w:rPr>
          <w:rFonts w:ascii="Times New Roman" w:hAnsi="Times New Roman" w:eastAsia="黑体"/>
        </w:rPr>
      </w:pPr>
      <w:bookmarkStart w:id="25" w:name="_Toc209090338"/>
      <w:r>
        <w:rPr>
          <w:rFonts w:ascii="Times New Roman" w:hAnsi="Times New Roman"/>
        </w:rPr>
        <w:t>5.3</w:t>
      </w:r>
      <w:r>
        <w:rPr>
          <w:rFonts w:hint="eastAsia" w:ascii="Times New Roman" w:hAnsi="Times New Roman"/>
        </w:rPr>
        <w:t xml:space="preserve">  </w:t>
      </w:r>
      <w:r>
        <w:rPr>
          <w:rFonts w:ascii="Times New Roman" w:hAnsi="Times New Roman"/>
        </w:rPr>
        <w:t>起动</w:t>
      </w:r>
      <w:bookmarkEnd w:id="25"/>
    </w:p>
    <w:p w14:paraId="23D2E123">
      <w:pPr>
        <w:pStyle w:val="58"/>
        <w:shd w:val="clear" w:color="auto" w:fill="auto"/>
        <w:spacing w:line="360" w:lineRule="auto"/>
        <w:ind w:left="23" w:right="23" w:firstLine="442"/>
        <w:jc w:val="both"/>
        <w:rPr>
          <w:rFonts w:ascii="Times New Roman" w:hAnsi="Times New Roman" w:eastAsia="宋体"/>
          <w:kern w:val="2"/>
          <w:sz w:val="24"/>
          <w:szCs w:val="20"/>
        </w:rPr>
      </w:pPr>
      <w:r>
        <w:rPr>
          <w:rFonts w:ascii="Times New Roman" w:hAnsi="Times New Roman" w:eastAsia="宋体"/>
          <w:kern w:val="2"/>
          <w:sz w:val="24"/>
          <w:szCs w:val="20"/>
        </w:rPr>
        <w:t>电压线路施加</w:t>
      </w:r>
      <w:r>
        <w:rPr>
          <w:rFonts w:hint="eastAsia" w:ascii="Times New Roman" w:hAnsi="Times New Roman" w:eastAsia="宋体"/>
          <w:kern w:val="2"/>
          <w:sz w:val="24"/>
          <w:szCs w:val="20"/>
        </w:rPr>
        <w:t>标称电压的最小值或标称电压范围的下限值</w:t>
      </w:r>
      <w:r>
        <w:rPr>
          <w:rFonts w:ascii="Times New Roman" w:hAnsi="Times New Roman" w:eastAsia="宋体"/>
          <w:kern w:val="2"/>
          <w:sz w:val="24"/>
          <w:szCs w:val="20"/>
        </w:rPr>
        <w:t>，电流线路通以表</w:t>
      </w:r>
      <w:r>
        <w:rPr>
          <w:rFonts w:hint="eastAsia" w:ascii="Times New Roman" w:hAnsi="Times New Roman" w:eastAsia="宋体"/>
          <w:kern w:val="2"/>
          <w:sz w:val="24"/>
          <w:szCs w:val="20"/>
          <w:lang w:eastAsia="zh-CN"/>
        </w:rPr>
        <w:t>2</w:t>
      </w:r>
      <w:r>
        <w:rPr>
          <w:rFonts w:ascii="Times New Roman" w:hAnsi="Times New Roman" w:eastAsia="宋体"/>
          <w:kern w:val="2"/>
          <w:sz w:val="24"/>
          <w:szCs w:val="20"/>
        </w:rPr>
        <w:t>规定的起动电流，在规定的时限内，电能表应能正常起动并连续记录</w:t>
      </w:r>
      <w:r>
        <w:rPr>
          <w:rFonts w:hint="eastAsia" w:ascii="Times New Roman" w:hAnsi="Times New Roman" w:eastAsia="宋体"/>
          <w:kern w:val="2"/>
          <w:sz w:val="24"/>
          <w:szCs w:val="20"/>
          <w:lang w:eastAsia="zh-CN"/>
        </w:rPr>
        <w:t>，</w:t>
      </w:r>
      <w:r>
        <w:rPr>
          <w:rFonts w:hint="eastAsia" w:ascii="Times New Roman" w:hAnsi="Times New Roman" w:eastAsia="宋体"/>
          <w:kern w:val="2"/>
          <w:sz w:val="24"/>
          <w:szCs w:val="20"/>
        </w:rPr>
        <w:t>且其起动试验的误差不超过表1规定的最大允许误差</w:t>
      </w:r>
      <w:r>
        <w:rPr>
          <w:rFonts w:ascii="Times New Roman" w:hAnsi="Times New Roman" w:eastAsia="宋体"/>
          <w:kern w:val="2"/>
          <w:sz w:val="24"/>
          <w:szCs w:val="20"/>
        </w:rPr>
        <w:t>。</w:t>
      </w:r>
    </w:p>
    <w:p w14:paraId="782B4FCC">
      <w:pPr>
        <w:adjustRightInd w:val="0"/>
        <w:snapToGrid w:val="0"/>
        <w:spacing w:line="360" w:lineRule="auto"/>
        <w:ind w:firstLine="480" w:firstLineChars="200"/>
        <w:jc w:val="left"/>
        <w:rPr>
          <w:sz w:val="24"/>
        </w:rPr>
      </w:pPr>
      <w:r>
        <w:rPr>
          <w:rFonts w:hint="eastAsia"/>
          <w:sz w:val="24"/>
        </w:rPr>
        <w:t>对于具有测量双向电能功能的</w:t>
      </w:r>
      <w:r>
        <w:rPr>
          <w:sz w:val="24"/>
        </w:rPr>
        <w:t>电能表，该试验适用于每一个方向的电能测量。</w:t>
      </w:r>
    </w:p>
    <w:p w14:paraId="405B4270">
      <w:pPr>
        <w:pStyle w:val="51"/>
        <w:numPr>
          <w:ilvl w:val="0"/>
          <w:numId w:val="0"/>
        </w:numPr>
        <w:tabs>
          <w:tab w:val="left" w:pos="360"/>
        </w:tabs>
        <w:spacing w:before="156" w:after="156" w:line="278" w:lineRule="auto"/>
        <w:rPr>
          <w:b/>
          <w:bCs/>
        </w:rPr>
      </w:pPr>
      <w:bookmarkStart w:id="26" w:name="_Toc142033849"/>
      <w:bookmarkStart w:id="27" w:name="_Toc141546886"/>
      <w:bookmarkStart w:id="28" w:name="_Toc141692861"/>
      <w:bookmarkStart w:id="29" w:name="_Toc141688943"/>
      <w:bookmarkStart w:id="30" w:name="_Toc141545513"/>
      <w:bookmarkStart w:id="31" w:name="_Toc141695274"/>
      <w:r>
        <w:rPr>
          <w:rFonts w:hint="eastAsia"/>
          <w:bCs/>
        </w:rPr>
        <w:t>表2 起动电流值</w:t>
      </w:r>
      <w:bookmarkEnd w:id="26"/>
      <w:bookmarkEnd w:id="27"/>
      <w:bookmarkEnd w:id="28"/>
      <w:bookmarkEnd w:id="29"/>
      <w:bookmarkEnd w:id="30"/>
      <w:bookmarkEnd w:id="31"/>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80"/>
        <w:gridCol w:w="2505"/>
        <w:gridCol w:w="2551"/>
        <w:gridCol w:w="2398"/>
      </w:tblGrid>
      <w:tr w14:paraId="5AA492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80" w:type="dxa"/>
            <w:vMerge w:val="restart"/>
            <w:tcBorders>
              <w:top w:val="single" w:color="auto" w:sz="8" w:space="0"/>
            </w:tcBorders>
            <w:vAlign w:val="center"/>
          </w:tcPr>
          <w:p w14:paraId="0810890D">
            <w:pPr>
              <w:pStyle w:val="80"/>
              <w:rPr>
                <w:rFonts w:ascii="Times New Roman"/>
              </w:rPr>
            </w:pPr>
            <w:r>
              <w:rPr>
                <w:rFonts w:ascii="Times New Roman"/>
              </w:rPr>
              <w:t>电流接入方式</w:t>
            </w:r>
          </w:p>
        </w:tc>
        <w:tc>
          <w:tcPr>
            <w:tcW w:w="7454" w:type="dxa"/>
            <w:gridSpan w:val="3"/>
            <w:tcBorders>
              <w:top w:val="single" w:color="auto" w:sz="8" w:space="0"/>
              <w:bottom w:val="single" w:color="auto" w:sz="2" w:space="0"/>
            </w:tcBorders>
            <w:vAlign w:val="center"/>
          </w:tcPr>
          <w:p w14:paraId="7D665A56">
            <w:pPr>
              <w:pStyle w:val="80"/>
              <w:rPr>
                <w:rFonts w:ascii="Times New Roman"/>
              </w:rPr>
            </w:pPr>
            <w:r>
              <w:rPr>
                <w:rFonts w:ascii="Times New Roman"/>
              </w:rPr>
              <w:t>准确度等级</w:t>
            </w:r>
          </w:p>
        </w:tc>
      </w:tr>
      <w:tr w14:paraId="50CFE4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0" w:type="dxa"/>
            <w:vMerge w:val="continue"/>
            <w:vAlign w:val="center"/>
          </w:tcPr>
          <w:p w14:paraId="768D4D97">
            <w:pPr>
              <w:pStyle w:val="80"/>
              <w:rPr>
                <w:rFonts w:ascii="Times New Roman"/>
              </w:rPr>
            </w:pPr>
          </w:p>
        </w:tc>
        <w:tc>
          <w:tcPr>
            <w:tcW w:w="2505" w:type="dxa"/>
            <w:tcBorders>
              <w:top w:val="single" w:color="auto" w:sz="2" w:space="0"/>
            </w:tcBorders>
            <w:vAlign w:val="center"/>
          </w:tcPr>
          <w:p w14:paraId="25E68DD9">
            <w:pPr>
              <w:pStyle w:val="80"/>
              <w:rPr>
                <w:rFonts w:ascii="Times New Roman"/>
              </w:rPr>
            </w:pPr>
            <w:r>
              <w:rPr>
                <w:rFonts w:ascii="Times New Roman"/>
              </w:rPr>
              <w:t>0.2级</w:t>
            </w:r>
          </w:p>
        </w:tc>
        <w:tc>
          <w:tcPr>
            <w:tcW w:w="2551" w:type="dxa"/>
            <w:tcBorders>
              <w:top w:val="single" w:color="auto" w:sz="2" w:space="0"/>
            </w:tcBorders>
            <w:vAlign w:val="center"/>
          </w:tcPr>
          <w:p w14:paraId="18DC7834">
            <w:pPr>
              <w:pStyle w:val="80"/>
              <w:rPr>
                <w:rFonts w:ascii="Times New Roman"/>
              </w:rPr>
            </w:pPr>
            <w:r>
              <w:rPr>
                <w:rFonts w:ascii="Times New Roman"/>
              </w:rPr>
              <w:t>0.5级</w:t>
            </w:r>
          </w:p>
        </w:tc>
        <w:tc>
          <w:tcPr>
            <w:tcW w:w="2398" w:type="dxa"/>
            <w:tcBorders>
              <w:top w:val="single" w:color="auto" w:sz="2" w:space="0"/>
            </w:tcBorders>
            <w:vAlign w:val="center"/>
          </w:tcPr>
          <w:p w14:paraId="5CFC2979">
            <w:pPr>
              <w:pStyle w:val="80"/>
              <w:rPr>
                <w:rFonts w:ascii="Times New Roman"/>
              </w:rPr>
            </w:pPr>
            <w:r>
              <w:rPr>
                <w:rFonts w:ascii="Times New Roman"/>
              </w:rPr>
              <w:t>1级</w:t>
            </w:r>
          </w:p>
        </w:tc>
      </w:tr>
      <w:tr w14:paraId="331EFE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0" w:type="dxa"/>
            <w:vAlign w:val="center"/>
          </w:tcPr>
          <w:p w14:paraId="528AFCCC">
            <w:pPr>
              <w:pStyle w:val="80"/>
              <w:rPr>
                <w:rFonts w:ascii="Times New Roman"/>
              </w:rPr>
            </w:pPr>
            <w:r>
              <w:rPr>
                <w:rFonts w:ascii="Times New Roman"/>
              </w:rPr>
              <w:t>直接接入式</w:t>
            </w:r>
          </w:p>
        </w:tc>
        <w:tc>
          <w:tcPr>
            <w:tcW w:w="2505" w:type="dxa"/>
            <w:vAlign w:val="center"/>
          </w:tcPr>
          <w:p w14:paraId="3910FF24">
            <w:pPr>
              <w:pStyle w:val="80"/>
              <w:rPr>
                <w:rFonts w:ascii="Times New Roman"/>
              </w:rPr>
            </w:pPr>
            <w:r>
              <w:rPr>
                <w:rFonts w:ascii="Times New Roman"/>
                <w:szCs w:val="18"/>
              </w:rPr>
              <w:t>-</w:t>
            </w:r>
          </w:p>
        </w:tc>
        <w:tc>
          <w:tcPr>
            <w:tcW w:w="2551" w:type="dxa"/>
          </w:tcPr>
          <w:p w14:paraId="5C18EA88">
            <w:pPr>
              <w:pStyle w:val="80"/>
              <w:rPr>
                <w:rFonts w:ascii="Times New Roman"/>
                <w:szCs w:val="18"/>
              </w:rPr>
            </w:pPr>
            <w:r>
              <w:rPr>
                <w:rFonts w:ascii="Times New Roman"/>
                <w:szCs w:val="18"/>
              </w:rPr>
              <w:t>0.004</w:t>
            </w:r>
            <w:r>
              <w:rPr>
                <w:rFonts w:ascii="Times New Roman"/>
                <w:i/>
                <w:iCs/>
                <w:szCs w:val="18"/>
              </w:rPr>
              <w:t>I</w:t>
            </w:r>
            <w:r>
              <w:rPr>
                <w:rFonts w:ascii="Times New Roman"/>
                <w:szCs w:val="18"/>
                <w:vertAlign w:val="subscript"/>
              </w:rPr>
              <w:t>n</w:t>
            </w:r>
          </w:p>
        </w:tc>
        <w:tc>
          <w:tcPr>
            <w:tcW w:w="2398" w:type="dxa"/>
          </w:tcPr>
          <w:p w14:paraId="42EA572C">
            <w:pPr>
              <w:pStyle w:val="80"/>
              <w:rPr>
                <w:rFonts w:ascii="Times New Roman"/>
                <w:szCs w:val="18"/>
              </w:rPr>
            </w:pPr>
            <w:r>
              <w:rPr>
                <w:rFonts w:ascii="Times New Roman"/>
                <w:szCs w:val="18"/>
              </w:rPr>
              <w:t>0.004</w:t>
            </w:r>
            <w:r>
              <w:rPr>
                <w:rFonts w:ascii="Times New Roman"/>
                <w:i/>
                <w:iCs/>
                <w:szCs w:val="18"/>
              </w:rPr>
              <w:t>I</w:t>
            </w:r>
            <w:r>
              <w:rPr>
                <w:rFonts w:ascii="Times New Roman"/>
                <w:szCs w:val="18"/>
                <w:vertAlign w:val="subscript"/>
              </w:rPr>
              <w:t>n</w:t>
            </w:r>
          </w:p>
        </w:tc>
      </w:tr>
      <w:tr w14:paraId="663CE8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0" w:type="dxa"/>
            <w:vAlign w:val="center"/>
          </w:tcPr>
          <w:p w14:paraId="47224482">
            <w:pPr>
              <w:pStyle w:val="80"/>
              <w:rPr>
                <w:rFonts w:ascii="Times New Roman"/>
              </w:rPr>
            </w:pPr>
            <w:r>
              <w:rPr>
                <w:rFonts w:ascii="Times New Roman"/>
              </w:rPr>
              <w:t>间接接入式</w:t>
            </w:r>
          </w:p>
        </w:tc>
        <w:tc>
          <w:tcPr>
            <w:tcW w:w="2505" w:type="dxa"/>
            <w:vAlign w:val="center"/>
          </w:tcPr>
          <w:p w14:paraId="08AB0BFE">
            <w:pPr>
              <w:pStyle w:val="80"/>
              <w:rPr>
                <w:rFonts w:ascii="Times New Roman"/>
              </w:rPr>
            </w:pPr>
            <w:r>
              <w:rPr>
                <w:rFonts w:ascii="Times New Roman"/>
                <w:szCs w:val="18"/>
              </w:rPr>
              <w:t>0.001</w:t>
            </w:r>
            <w:r>
              <w:rPr>
                <w:rFonts w:ascii="Times New Roman"/>
                <w:i/>
                <w:szCs w:val="18"/>
              </w:rPr>
              <w:t>I</w:t>
            </w:r>
            <w:r>
              <w:rPr>
                <w:rFonts w:ascii="Times New Roman"/>
                <w:szCs w:val="18"/>
                <w:vertAlign w:val="subscript"/>
              </w:rPr>
              <w:t>n</w:t>
            </w:r>
          </w:p>
        </w:tc>
        <w:tc>
          <w:tcPr>
            <w:tcW w:w="2551" w:type="dxa"/>
            <w:vAlign w:val="center"/>
          </w:tcPr>
          <w:p w14:paraId="24F7BDCE">
            <w:pPr>
              <w:pStyle w:val="80"/>
              <w:rPr>
                <w:rFonts w:ascii="Times New Roman"/>
              </w:rPr>
            </w:pPr>
            <w:r>
              <w:rPr>
                <w:rFonts w:ascii="Times New Roman"/>
                <w:iCs/>
                <w:szCs w:val="18"/>
              </w:rPr>
              <w:t>0.002</w:t>
            </w:r>
            <w:r>
              <w:rPr>
                <w:rFonts w:ascii="Times New Roman"/>
                <w:i/>
                <w:szCs w:val="18"/>
              </w:rPr>
              <w:t>I</w:t>
            </w:r>
            <w:r>
              <w:rPr>
                <w:rFonts w:ascii="Times New Roman"/>
                <w:szCs w:val="18"/>
                <w:vertAlign w:val="subscript"/>
              </w:rPr>
              <w:t>n</w:t>
            </w:r>
          </w:p>
        </w:tc>
        <w:tc>
          <w:tcPr>
            <w:tcW w:w="2398" w:type="dxa"/>
            <w:vAlign w:val="center"/>
          </w:tcPr>
          <w:p w14:paraId="4F3959F5">
            <w:pPr>
              <w:pStyle w:val="80"/>
              <w:rPr>
                <w:rFonts w:ascii="Times New Roman"/>
                <w:i/>
                <w:szCs w:val="18"/>
              </w:rPr>
            </w:pPr>
            <w:r>
              <w:rPr>
                <w:rFonts w:ascii="Times New Roman"/>
                <w:iCs/>
                <w:szCs w:val="18"/>
              </w:rPr>
              <w:t>0.003</w:t>
            </w:r>
            <w:r>
              <w:rPr>
                <w:rFonts w:ascii="Times New Roman"/>
                <w:i/>
                <w:szCs w:val="18"/>
              </w:rPr>
              <w:t>I</w:t>
            </w:r>
            <w:r>
              <w:rPr>
                <w:rFonts w:ascii="Times New Roman"/>
                <w:szCs w:val="18"/>
                <w:vertAlign w:val="subscript"/>
              </w:rPr>
              <w:t>n</w:t>
            </w:r>
          </w:p>
        </w:tc>
      </w:tr>
    </w:tbl>
    <w:p w14:paraId="5E7EDDBE"/>
    <w:p w14:paraId="30A13F2B">
      <w:pPr>
        <w:pStyle w:val="3"/>
        <w:rPr>
          <w:rFonts w:ascii="Times New Roman" w:hAnsi="Times New Roman"/>
        </w:rPr>
      </w:pPr>
      <w:bookmarkStart w:id="32" w:name="_Toc209090339"/>
      <w:r>
        <w:rPr>
          <w:rFonts w:ascii="Times New Roman" w:hAnsi="Times New Roman"/>
        </w:rPr>
        <w:t>5.4</w:t>
      </w:r>
      <w:r>
        <w:rPr>
          <w:rFonts w:hint="eastAsia" w:ascii="Times New Roman" w:hAnsi="Times New Roman"/>
        </w:rPr>
        <w:t xml:space="preserve">  </w:t>
      </w:r>
      <w:r>
        <w:rPr>
          <w:rFonts w:ascii="Times New Roman" w:hAnsi="Times New Roman"/>
        </w:rPr>
        <w:t>仪表常数</w:t>
      </w:r>
      <w:bookmarkEnd w:id="32"/>
    </w:p>
    <w:p w14:paraId="35012A6A">
      <w:pPr>
        <w:adjustRightInd w:val="0"/>
        <w:snapToGrid w:val="0"/>
        <w:spacing w:line="360" w:lineRule="auto"/>
        <w:ind w:firstLine="480" w:firstLineChars="200"/>
        <w:jc w:val="left"/>
        <w:rPr>
          <w:color w:val="000000"/>
          <w:sz w:val="24"/>
          <w:szCs w:val="24"/>
        </w:rPr>
      </w:pPr>
      <w:r>
        <w:rPr>
          <w:rFonts w:hint="eastAsia"/>
          <w:color w:val="000000"/>
          <w:sz w:val="24"/>
          <w:szCs w:val="24"/>
        </w:rPr>
        <w:t>电能表测试输出与计度显示器指示的电能示值之间的关系，应与电能表铭牌（或其它可显示）上标识的仪表常数一致。</w:t>
      </w:r>
    </w:p>
    <w:p w14:paraId="08C4FD87">
      <w:pPr>
        <w:pStyle w:val="3"/>
        <w:rPr>
          <w:rFonts w:ascii="Times New Roman" w:hAnsi="Times New Roman"/>
        </w:rPr>
      </w:pPr>
      <w:bookmarkStart w:id="33" w:name="_Toc209090340"/>
      <w:r>
        <w:rPr>
          <w:rFonts w:ascii="Times New Roman" w:hAnsi="Times New Roman"/>
        </w:rPr>
        <w:t>5.5</w:t>
      </w:r>
      <w:r>
        <w:rPr>
          <w:rFonts w:hint="eastAsia" w:ascii="Times New Roman" w:hAnsi="Times New Roman"/>
        </w:rPr>
        <w:t xml:space="preserve">  时间（时刻）示值误差</w:t>
      </w:r>
      <w:bookmarkEnd w:id="33"/>
    </w:p>
    <w:p w14:paraId="0C5342B5">
      <w:pPr>
        <w:adjustRightInd w:val="0"/>
        <w:snapToGrid w:val="0"/>
        <w:spacing w:line="360" w:lineRule="auto"/>
        <w:ind w:firstLine="480" w:firstLineChars="200"/>
        <w:jc w:val="left"/>
        <w:rPr>
          <w:sz w:val="24"/>
        </w:rPr>
      </w:pPr>
      <w:r>
        <w:rPr>
          <w:sz w:val="24"/>
        </w:rPr>
        <w:t>对具有计时功能的电能表，在参比条件下，其内部时钟日计时误差限为±0.5s/d。</w:t>
      </w:r>
      <w:r>
        <w:rPr>
          <w:rFonts w:hint="eastAsia"/>
          <w:sz w:val="24"/>
        </w:rPr>
        <w:t>电能表的显示时间（时刻）与标准时间的示值误差限为±5s。</w:t>
      </w:r>
    </w:p>
    <w:p w14:paraId="083ECF6E">
      <w:pPr>
        <w:adjustRightInd w:val="0"/>
        <w:snapToGrid w:val="0"/>
        <w:spacing w:line="360" w:lineRule="auto"/>
        <w:ind w:firstLine="480" w:firstLineChars="200"/>
        <w:jc w:val="left"/>
        <w:rPr>
          <w:sz w:val="24"/>
        </w:rPr>
      </w:pPr>
      <w:r>
        <w:rPr>
          <w:rFonts w:hint="eastAsia"/>
          <w:sz w:val="24"/>
        </w:rPr>
        <w:t>后续检定、使用中检查时，电能表显示的时间（时刻）示值误差与标准时间的误差限为±3min。</w:t>
      </w:r>
    </w:p>
    <w:p w14:paraId="1BE0A874">
      <w:pPr>
        <w:pStyle w:val="3"/>
        <w:rPr>
          <w:rFonts w:ascii="Times New Roman" w:hAnsi="Times New Roman"/>
        </w:rPr>
      </w:pPr>
      <w:bookmarkStart w:id="34" w:name="_Toc209090341"/>
      <w:r>
        <w:rPr>
          <w:rFonts w:ascii="Times New Roman" w:hAnsi="Times New Roman"/>
        </w:rPr>
        <w:t>5.</w:t>
      </w:r>
      <w:r>
        <w:rPr>
          <w:rFonts w:hint="eastAsia" w:ascii="Times New Roman" w:hAnsi="Times New Roman"/>
        </w:rPr>
        <w:t>6  电能示值组合误差</w:t>
      </w:r>
      <w:bookmarkEnd w:id="34"/>
    </w:p>
    <w:p w14:paraId="546E581C">
      <w:pPr>
        <w:adjustRightInd w:val="0"/>
        <w:snapToGrid w:val="0"/>
        <w:spacing w:line="360" w:lineRule="auto"/>
        <w:ind w:firstLine="480" w:firstLineChars="200"/>
        <w:jc w:val="left"/>
        <w:rPr>
          <w:color w:val="000000"/>
          <w:sz w:val="24"/>
        </w:rPr>
      </w:pPr>
      <w:r>
        <w:rPr>
          <w:color w:val="000000"/>
          <w:sz w:val="24"/>
        </w:rPr>
        <w:t>首次检定时，对于具有分时计费（或多费率）功能的电能表，各费率时段电能示值(增量)的组合误差应满足式(1)的规定:</w:t>
      </w:r>
    </w:p>
    <w:p w14:paraId="28370237">
      <w:pPr>
        <w:adjustRightInd w:val="0"/>
        <w:snapToGrid w:val="0"/>
        <w:spacing w:line="360" w:lineRule="auto"/>
        <w:ind w:firstLine="480" w:firstLineChars="200"/>
        <w:jc w:val="left"/>
        <w:rPr>
          <w:color w:val="000000"/>
          <w:sz w:val="24"/>
        </w:rPr>
      </w:pPr>
      <w:r>
        <w:rPr>
          <w:color w:val="000000"/>
          <w:sz w:val="24"/>
        </w:rPr>
        <w:t>对于电能计度显示器（也可读寄存器）：</w:t>
      </w:r>
    </w:p>
    <w:p w14:paraId="615CBBDD">
      <w:pPr>
        <w:pStyle w:val="88"/>
        <w:jc w:val="right"/>
      </w:pPr>
      <w:r>
        <w:tab/>
      </w:r>
      <w:r>
        <w:rPr>
          <w:position w:val="-18"/>
        </w:rPr>
        <w:object>
          <v:shape id="_x0000_i1029" o:spt="75" type="#_x0000_t75" style="height:23.3pt;width:231.8pt;" o:ole="t" filled="f" o:preferrelative="t" stroked="f" coordsize="21600,21600">
            <v:path/>
            <v:fill on="f" focussize="0,0"/>
            <v:stroke on="f" joinstyle="miter"/>
            <v:imagedata r:id="rId19" o:title=""/>
            <o:lock v:ext="edit" aspectratio="t"/>
            <w10:wrap type="none"/>
            <w10:anchorlock/>
          </v:shape>
          <o:OLEObject Type="Embed" ProgID="Equation.DSMT4" ShapeID="_x0000_i1029" DrawAspect="Content" ObjectID="_1468075729" r:id="rId18">
            <o:LockedField>false</o:LockedField>
          </o:OLEObject>
        </w:object>
      </w:r>
      <w:r>
        <w:t xml:space="preserve">           </w:t>
      </w:r>
      <w:r>
        <w:rPr>
          <w:i w:val="0"/>
          <w:iCs/>
          <w:color w:val="000000"/>
          <w:szCs w:val="20"/>
        </w:rPr>
        <w:t>（1）</w:t>
      </w:r>
    </w:p>
    <w:p w14:paraId="3D9FFCDB">
      <w:pPr>
        <w:adjustRightInd w:val="0"/>
        <w:snapToGrid w:val="0"/>
        <w:spacing w:line="360" w:lineRule="auto"/>
        <w:ind w:firstLine="424" w:firstLineChars="177"/>
        <w:jc w:val="left"/>
        <w:rPr>
          <w:color w:val="000000"/>
          <w:sz w:val="24"/>
        </w:rPr>
      </w:pPr>
      <w:r>
        <w:rPr>
          <w:color w:val="000000"/>
          <w:sz w:val="24"/>
        </w:rPr>
        <w:t>式中:</w:t>
      </w:r>
    </w:p>
    <w:p w14:paraId="3DB422CB">
      <w:pPr>
        <w:adjustRightInd w:val="0"/>
        <w:snapToGrid w:val="0"/>
        <w:spacing w:line="360" w:lineRule="auto"/>
        <w:ind w:firstLine="424" w:firstLineChars="177"/>
        <w:jc w:val="left"/>
        <w:rPr>
          <w:color w:val="000000"/>
          <w:sz w:val="24"/>
        </w:rPr>
      </w:pPr>
      <w:bookmarkStart w:id="35" w:name="_Hlk95401589"/>
      <w:r>
        <w:rPr>
          <w:color w:val="000000"/>
          <w:sz w:val="24"/>
        </w:rPr>
        <w:object>
          <v:shape id="_x0000_i1030" o:spt="75" type="#_x0000_t75" style="height:17.5pt;width:26.65pt;" o:ole="t" filled="f" o:preferrelative="t" stroked="f" coordsize="21600,21600">
            <v:path/>
            <v:fill on="f" focussize="0,0"/>
            <v:stroke on="f" joinstyle="miter"/>
            <v:imagedata r:id="rId21" o:title=""/>
            <o:lock v:ext="edit" aspectratio="t"/>
            <w10:wrap type="none"/>
            <w10:anchorlock/>
          </v:shape>
          <o:OLEObject Type="Embed" ProgID="Equation.DSMT4" ShapeID="_x0000_i1030" DrawAspect="Content" ObjectID="_1468075730" r:id="rId20">
            <o:LockedField>false</o:LockedField>
          </o:OLEObject>
        </w:object>
      </w:r>
      <w:bookmarkStart w:id="36" w:name="_Hlk131363653"/>
      <w:r>
        <w:rPr>
          <w:color w:val="000000"/>
          <w:sz w:val="24"/>
        </w:rPr>
        <w:t>——</w:t>
      </w:r>
      <w:bookmarkEnd w:id="36"/>
      <w:r>
        <w:rPr>
          <w:color w:val="000000"/>
          <w:sz w:val="24"/>
        </w:rPr>
        <w:t>试验时间内,总电能增量，kWh；</w:t>
      </w:r>
    </w:p>
    <w:p w14:paraId="42A7994B">
      <w:pPr>
        <w:adjustRightInd w:val="0"/>
        <w:snapToGrid w:val="0"/>
        <w:spacing w:line="360" w:lineRule="auto"/>
        <w:ind w:firstLine="420" w:firstLineChars="200"/>
        <w:jc w:val="left"/>
        <w:rPr>
          <w:color w:val="000000"/>
          <w:sz w:val="24"/>
        </w:rPr>
      </w:pPr>
      <w:r>
        <w:rPr>
          <w:position w:val="-14"/>
        </w:rPr>
        <w:object>
          <v:shape id="_x0000_i1031" o:spt="75" type="#_x0000_t75" style="height:19.55pt;width:29.15pt;" o:ole="t" filled="f" o:preferrelative="t" stroked="f" coordsize="21600,21600">
            <v:path/>
            <v:fill on="f" focussize="0,0"/>
            <v:stroke on="f" joinstyle="miter"/>
            <v:imagedata r:id="rId23" o:title=""/>
            <o:lock v:ext="edit" aspectratio="t"/>
            <w10:wrap type="none"/>
            <w10:anchorlock/>
          </v:shape>
          <o:OLEObject Type="Embed" ProgID="Equation.DSMT4" ShapeID="_x0000_i1031" DrawAspect="Content" ObjectID="_1468075731" r:id="rId22">
            <o:LockedField>false</o:LockedField>
          </o:OLEObject>
        </w:object>
      </w:r>
      <w:r>
        <w:t>,</w:t>
      </w:r>
      <w:r>
        <w:rPr>
          <w:position w:val="-14"/>
        </w:rPr>
        <w:object>
          <v:shape id="_x0000_i1032" o:spt="75" type="#_x0000_t75" style="height:19.55pt;width:29.15pt;" o:ole="t" filled="f" o:preferrelative="t" stroked="f" coordsize="21600,21600">
            <v:path/>
            <v:fill on="f" focussize="0,0"/>
            <v:stroke on="f" joinstyle="miter"/>
            <v:imagedata r:id="rId25" o:title=""/>
            <o:lock v:ext="edit" aspectratio="t"/>
            <w10:wrap type="none"/>
            <w10:anchorlock/>
          </v:shape>
          <o:OLEObject Type="Embed" ProgID="Equation.DSMT4" ShapeID="_x0000_i1032" DrawAspect="Content" ObjectID="_1468075732" r:id="rId24">
            <o:LockedField>false</o:LockedField>
          </o:OLEObject>
        </w:object>
      </w:r>
      <w:r>
        <w:t>,</w:t>
      </w:r>
      <w:r>
        <w:rPr>
          <w:sz w:val="24"/>
          <w:szCs w:val="24"/>
        </w:rPr>
        <w:t>…</w:t>
      </w:r>
      <w:r>
        <w:rPr>
          <w:position w:val="-14"/>
        </w:rPr>
        <w:object>
          <v:shape id="_x0000_i1033" o:spt="75" type="#_x0000_t75" style="height:19.55pt;width:29.15pt;" o:ole="t" filled="f" o:preferrelative="t" stroked="f" coordsize="21600,21600">
            <v:path/>
            <v:fill on="f" focussize="0,0"/>
            <v:stroke on="f" joinstyle="miter"/>
            <v:imagedata r:id="rId27" o:title=""/>
            <o:lock v:ext="edit" aspectratio="t"/>
            <w10:wrap type="none"/>
            <w10:anchorlock/>
          </v:shape>
          <o:OLEObject Type="Embed" ProgID="Equation.DSMT4" ShapeID="_x0000_i1033" DrawAspect="Content" ObjectID="_1468075733" r:id="rId26">
            <o:LockedField>false</o:LockedField>
          </o:OLEObject>
        </w:object>
      </w:r>
      <w:r>
        <w:rPr>
          <w:color w:val="000000"/>
          <w:sz w:val="24"/>
        </w:rPr>
        <w:t>——试验时间内,费率1,2,…,</w:t>
      </w:r>
      <w:r>
        <w:rPr>
          <w:i/>
          <w:iCs/>
          <w:color w:val="000000"/>
          <w:sz w:val="24"/>
        </w:rPr>
        <w:t>n</w:t>
      </w:r>
      <w:r>
        <w:rPr>
          <w:color w:val="000000"/>
          <w:sz w:val="24"/>
        </w:rPr>
        <w:t>对应的各费率时段的电能增量，kWh；</w:t>
      </w:r>
    </w:p>
    <w:bookmarkEnd w:id="35"/>
    <w:p w14:paraId="32B09A07">
      <w:pPr>
        <w:adjustRightInd w:val="0"/>
        <w:snapToGrid w:val="0"/>
        <w:spacing w:line="360" w:lineRule="auto"/>
        <w:ind w:firstLine="420" w:firstLineChars="200"/>
        <w:jc w:val="left"/>
        <w:rPr>
          <w:color w:val="000000"/>
          <w:sz w:val="24"/>
        </w:rPr>
      </w:pPr>
      <w:r>
        <w:rPr>
          <w:position w:val="-6"/>
        </w:rPr>
        <w:object>
          <v:shape id="_x0000_i1034" o:spt="75" type="#_x0000_t75" style="height:11.65pt;width:8.3pt;" o:ole="t" filled="f" o:preferrelative="t" stroked="f" coordsize="21600,21600">
            <v:path/>
            <v:fill on="f" focussize="0,0"/>
            <v:stroke on="f" joinstyle="miter"/>
            <v:imagedata r:id="rId29" o:title=""/>
            <o:lock v:ext="edit" aspectratio="t"/>
            <w10:wrap type="none"/>
            <w10:anchorlock/>
          </v:shape>
          <o:OLEObject Type="Embed" ProgID="Equation.DSMT4" ShapeID="_x0000_i1034" DrawAspect="Content" ObjectID="_1468075734" r:id="rId28">
            <o:LockedField>false</o:LockedField>
          </o:OLEObject>
        </w:object>
      </w:r>
      <w:r>
        <w:rPr>
          <w:color w:val="000000"/>
          <w:sz w:val="24"/>
        </w:rPr>
        <w:t>——费率数（分时数）；</w:t>
      </w:r>
    </w:p>
    <w:p w14:paraId="3C11D8D5">
      <w:pPr>
        <w:adjustRightInd w:val="0"/>
        <w:snapToGrid w:val="0"/>
        <w:spacing w:line="360" w:lineRule="auto"/>
        <w:ind w:firstLine="420" w:firstLineChars="200"/>
        <w:jc w:val="left"/>
        <w:rPr>
          <w:color w:val="000000"/>
          <w:sz w:val="24"/>
        </w:rPr>
      </w:pPr>
      <w:r>
        <w:rPr>
          <w:position w:val="-6"/>
        </w:rPr>
        <w:object>
          <v:shape id="_x0000_i1035" o:spt="75" type="#_x0000_t75" style="height:11.65pt;width:12.9pt;" o:ole="t" filled="f" o:preferrelative="t" stroked="f" coordsize="21600,21600">
            <v:path/>
            <v:fill on="f" focussize="0,0"/>
            <v:stroke on="f" joinstyle="miter"/>
            <v:imagedata r:id="rId31" o:title=""/>
            <o:lock v:ext="edit" aspectratio="t"/>
            <w10:wrap type="none"/>
            <w10:anchorlock/>
          </v:shape>
          <o:OLEObject Type="Embed" ProgID="Equation.DSMT4" ShapeID="_x0000_i1035" DrawAspect="Content" ObjectID="_1468075735" r:id="rId30">
            <o:LockedField>false</o:LockedField>
          </o:OLEObject>
        </w:object>
      </w:r>
      <w:r>
        <w:rPr>
          <w:color w:val="000000"/>
          <w:sz w:val="24"/>
        </w:rPr>
        <w:t>——计度显示的总电能小数位数（如果采用读寄存器方法，为寄存器小数位数）。</w:t>
      </w:r>
    </w:p>
    <w:p w14:paraId="26712111">
      <w:pPr>
        <w:adjustRightInd w:val="0"/>
        <w:snapToGrid w:val="0"/>
        <w:spacing w:line="360" w:lineRule="auto"/>
        <w:ind w:firstLine="480" w:firstLineChars="200"/>
        <w:jc w:val="left"/>
        <w:rPr>
          <w:bCs/>
          <w:kern w:val="0"/>
          <w:sz w:val="24"/>
          <w:szCs w:val="24"/>
        </w:rPr>
      </w:pPr>
      <w:r>
        <w:rPr>
          <w:color w:val="000000"/>
          <w:sz w:val="24"/>
        </w:rPr>
        <w:t>后续检定、使用中检查时，各费率时段有功电能示值的组合误差应不大于1kWh。</w:t>
      </w:r>
    </w:p>
    <w:p w14:paraId="1C261DEE">
      <w:pPr>
        <w:pStyle w:val="3"/>
        <w:rPr>
          <w:rFonts w:ascii="Times New Roman" w:hAnsi="Times New Roman"/>
        </w:rPr>
      </w:pPr>
      <w:bookmarkStart w:id="37" w:name="_Toc209090342"/>
      <w:r>
        <w:rPr>
          <w:rFonts w:ascii="Times New Roman" w:hAnsi="Times New Roman"/>
        </w:rPr>
        <w:t>5.</w:t>
      </w:r>
      <w:r>
        <w:rPr>
          <w:rFonts w:hint="eastAsia" w:ascii="Times New Roman" w:hAnsi="Times New Roman"/>
        </w:rPr>
        <w:t>7  负载电流升降变差限值</w:t>
      </w:r>
      <w:bookmarkEnd w:id="37"/>
    </w:p>
    <w:p w14:paraId="05A1DD2E">
      <w:pPr>
        <w:pStyle w:val="50"/>
        <w:spacing w:line="360" w:lineRule="auto"/>
        <w:ind w:firstLine="480"/>
        <w:rPr>
          <w:rFonts w:ascii="Times New Roman"/>
          <w:kern w:val="2"/>
          <w:sz w:val="24"/>
        </w:rPr>
      </w:pPr>
      <w:r>
        <w:rPr>
          <w:rFonts w:hint="eastAsia" w:ascii="Times New Roman"/>
          <w:kern w:val="2"/>
          <w:sz w:val="24"/>
        </w:rPr>
        <w:t>对同一被试样品相同的测试点电流升降变化后，两次测试结果间的最大误差变化的绝对值不应超过表3的规定。</w:t>
      </w:r>
    </w:p>
    <w:p w14:paraId="2DAEE1CA">
      <w:pPr>
        <w:pStyle w:val="51"/>
        <w:numPr>
          <w:ilvl w:val="0"/>
          <w:numId w:val="0"/>
        </w:numPr>
        <w:tabs>
          <w:tab w:val="left" w:pos="360"/>
        </w:tabs>
        <w:spacing w:before="156" w:after="156" w:line="278" w:lineRule="auto"/>
        <w:rPr>
          <w:rFonts w:ascii="Times New Roman"/>
          <w:b/>
        </w:rPr>
      </w:pPr>
      <w:bookmarkStart w:id="38" w:name="_Toc141688946"/>
      <w:bookmarkStart w:id="39" w:name="_Toc141545517"/>
      <w:bookmarkStart w:id="40" w:name="_Toc141546890"/>
      <w:bookmarkStart w:id="41" w:name="_Toc142033854"/>
      <w:bookmarkStart w:id="42" w:name="_Toc141692864"/>
      <w:bookmarkStart w:id="43" w:name="_Toc141695277"/>
      <w:r>
        <w:rPr>
          <w:rFonts w:hint="eastAsia"/>
          <w:bCs/>
        </w:rPr>
        <w:t xml:space="preserve">表3 </w:t>
      </w:r>
      <w:r>
        <w:rPr>
          <w:rFonts w:hint="eastAsia" w:ascii="Times New Roman"/>
        </w:rPr>
        <w:t>负载电流</w:t>
      </w:r>
      <w:r>
        <w:rPr>
          <w:rFonts w:hint="eastAsia"/>
          <w:bCs/>
        </w:rPr>
        <w:t>升降</w:t>
      </w:r>
      <w:r>
        <w:rPr>
          <w:rFonts w:hint="eastAsia" w:ascii="Times New Roman"/>
        </w:rPr>
        <w:t>变差限值（%）</w:t>
      </w:r>
      <w:bookmarkEnd w:id="38"/>
      <w:bookmarkEnd w:id="39"/>
      <w:bookmarkEnd w:id="40"/>
      <w:bookmarkEnd w:id="41"/>
      <w:bookmarkEnd w:id="42"/>
      <w:bookmarkEnd w:id="43"/>
    </w:p>
    <w:tbl>
      <w:tblPr>
        <w:tblStyle w:val="33"/>
        <w:tblW w:w="932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626"/>
        <w:gridCol w:w="2034"/>
        <w:gridCol w:w="1843"/>
        <w:gridCol w:w="1822"/>
      </w:tblGrid>
      <w:tr w14:paraId="4F77A3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626" w:type="dxa"/>
            <w:vMerge w:val="restart"/>
            <w:tcBorders>
              <w:top w:val="single" w:color="auto" w:sz="8" w:space="0"/>
            </w:tcBorders>
            <w:vAlign w:val="center"/>
          </w:tcPr>
          <w:p w14:paraId="2918BF14">
            <w:pPr>
              <w:pStyle w:val="50"/>
              <w:ind w:firstLine="0" w:firstLineChars="0"/>
              <w:jc w:val="center"/>
              <w:rPr>
                <w:rFonts w:ascii="Times New Roman"/>
                <w:sz w:val="18"/>
                <w:szCs w:val="18"/>
              </w:rPr>
            </w:pPr>
            <w:r>
              <w:rPr>
                <w:rFonts w:ascii="Times New Roman"/>
                <w:sz w:val="18"/>
                <w:szCs w:val="18"/>
              </w:rPr>
              <w:t>电流</w:t>
            </w:r>
          </w:p>
        </w:tc>
        <w:tc>
          <w:tcPr>
            <w:tcW w:w="5699" w:type="dxa"/>
            <w:gridSpan w:val="3"/>
            <w:tcBorders>
              <w:top w:val="single" w:color="auto" w:sz="8" w:space="0"/>
              <w:bottom w:val="single" w:color="auto" w:sz="8" w:space="0"/>
            </w:tcBorders>
          </w:tcPr>
          <w:p w14:paraId="35671AB0">
            <w:pPr>
              <w:jc w:val="center"/>
              <w:rPr>
                <w:sz w:val="18"/>
              </w:rPr>
            </w:pPr>
            <w:r>
              <w:rPr>
                <w:sz w:val="18"/>
              </w:rPr>
              <w:t>电能表准确度等级</w:t>
            </w:r>
          </w:p>
        </w:tc>
      </w:tr>
      <w:tr w14:paraId="139E11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626" w:type="dxa"/>
            <w:vMerge w:val="continue"/>
            <w:vAlign w:val="center"/>
          </w:tcPr>
          <w:p w14:paraId="3BBB31D6">
            <w:pPr>
              <w:jc w:val="center"/>
              <w:rPr>
                <w:sz w:val="18"/>
              </w:rPr>
            </w:pPr>
          </w:p>
        </w:tc>
        <w:tc>
          <w:tcPr>
            <w:tcW w:w="2034" w:type="dxa"/>
            <w:tcBorders>
              <w:top w:val="single" w:color="auto" w:sz="8" w:space="0"/>
            </w:tcBorders>
            <w:vAlign w:val="center"/>
          </w:tcPr>
          <w:p w14:paraId="1773C5B2">
            <w:pPr>
              <w:pStyle w:val="50"/>
              <w:ind w:firstLine="0" w:firstLineChars="0"/>
              <w:jc w:val="center"/>
              <w:rPr>
                <w:rFonts w:ascii="Times New Roman"/>
                <w:sz w:val="18"/>
                <w:szCs w:val="18"/>
              </w:rPr>
            </w:pPr>
            <w:r>
              <w:rPr>
                <w:rFonts w:ascii="Times New Roman"/>
                <w:sz w:val="18"/>
                <w:szCs w:val="18"/>
              </w:rPr>
              <w:t>0.2级</w:t>
            </w:r>
          </w:p>
        </w:tc>
        <w:tc>
          <w:tcPr>
            <w:tcW w:w="1843" w:type="dxa"/>
            <w:tcBorders>
              <w:top w:val="single" w:color="auto" w:sz="8" w:space="0"/>
            </w:tcBorders>
            <w:vAlign w:val="center"/>
          </w:tcPr>
          <w:p w14:paraId="4F74072B">
            <w:pPr>
              <w:pStyle w:val="50"/>
              <w:ind w:firstLine="0" w:firstLineChars="0"/>
              <w:jc w:val="center"/>
              <w:rPr>
                <w:rFonts w:ascii="Times New Roman"/>
                <w:sz w:val="18"/>
                <w:szCs w:val="18"/>
              </w:rPr>
            </w:pPr>
            <w:r>
              <w:rPr>
                <w:rFonts w:ascii="Times New Roman"/>
                <w:sz w:val="18"/>
                <w:szCs w:val="18"/>
              </w:rPr>
              <w:t>0.5级</w:t>
            </w:r>
          </w:p>
        </w:tc>
        <w:tc>
          <w:tcPr>
            <w:tcW w:w="1822" w:type="dxa"/>
            <w:tcBorders>
              <w:top w:val="single" w:color="auto" w:sz="8" w:space="0"/>
            </w:tcBorders>
            <w:vAlign w:val="center"/>
          </w:tcPr>
          <w:p w14:paraId="3143DDBB">
            <w:pPr>
              <w:pStyle w:val="50"/>
              <w:ind w:firstLine="0" w:firstLineChars="0"/>
              <w:jc w:val="center"/>
              <w:rPr>
                <w:rFonts w:ascii="Times New Roman"/>
                <w:sz w:val="18"/>
                <w:szCs w:val="18"/>
              </w:rPr>
            </w:pPr>
            <w:r>
              <w:rPr>
                <w:rFonts w:ascii="Times New Roman"/>
                <w:sz w:val="18"/>
                <w:szCs w:val="18"/>
              </w:rPr>
              <w:t>1级</w:t>
            </w:r>
          </w:p>
        </w:tc>
      </w:tr>
      <w:tr w14:paraId="2FDDA8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626" w:type="dxa"/>
            <w:tcBorders>
              <w:bottom w:val="single" w:color="auto" w:sz="8" w:space="0"/>
            </w:tcBorders>
            <w:vAlign w:val="center"/>
          </w:tcPr>
          <w:p w14:paraId="32252CEB">
            <w:pPr>
              <w:pStyle w:val="50"/>
              <w:ind w:firstLine="0" w:firstLineChars="0"/>
              <w:jc w:val="center"/>
              <w:rPr>
                <w:rFonts w:ascii="Times New Roman"/>
                <w:sz w:val="18"/>
                <w:szCs w:val="18"/>
              </w:rPr>
            </w:pPr>
            <w:r>
              <w:rPr>
                <w:rFonts w:ascii="Times New Roman"/>
                <w:i/>
                <w:sz w:val="18"/>
                <w:szCs w:val="18"/>
              </w:rPr>
              <w:t>I</w:t>
            </w:r>
            <w:r>
              <w:rPr>
                <w:rFonts w:ascii="Times New Roman"/>
                <w:sz w:val="18"/>
                <w:szCs w:val="18"/>
                <w:vertAlign w:val="subscript"/>
              </w:rPr>
              <w:t>min</w:t>
            </w:r>
            <w:r>
              <w:rPr>
                <w:rFonts w:ascii="Times New Roman"/>
                <w:sz w:val="18"/>
                <w:szCs w:val="18"/>
              </w:rPr>
              <w:t>≤</w:t>
            </w:r>
            <w:r>
              <w:rPr>
                <w:rFonts w:ascii="Times New Roman"/>
                <w:i/>
                <w:sz w:val="18"/>
                <w:szCs w:val="18"/>
              </w:rPr>
              <w:t>I</w:t>
            </w:r>
            <w:r>
              <w:rPr>
                <w:rFonts w:ascii="Times New Roman"/>
                <w:sz w:val="18"/>
                <w:szCs w:val="18"/>
              </w:rPr>
              <w:t>≤</w:t>
            </w:r>
            <w:r>
              <w:rPr>
                <w:rFonts w:ascii="Times New Roman"/>
                <w:i/>
                <w:sz w:val="18"/>
                <w:szCs w:val="18"/>
              </w:rPr>
              <w:t>I</w:t>
            </w:r>
            <w:r>
              <w:rPr>
                <w:rFonts w:ascii="Times New Roman"/>
                <w:sz w:val="18"/>
                <w:szCs w:val="18"/>
                <w:vertAlign w:val="subscript"/>
              </w:rPr>
              <w:t>max</w:t>
            </w:r>
          </w:p>
        </w:tc>
        <w:tc>
          <w:tcPr>
            <w:tcW w:w="2034" w:type="dxa"/>
            <w:tcBorders>
              <w:bottom w:val="single" w:color="auto" w:sz="8" w:space="0"/>
            </w:tcBorders>
            <w:vAlign w:val="center"/>
          </w:tcPr>
          <w:p w14:paraId="5738FF92">
            <w:pPr>
              <w:pStyle w:val="50"/>
              <w:ind w:firstLine="0" w:firstLineChars="0"/>
              <w:jc w:val="center"/>
              <w:rPr>
                <w:rFonts w:ascii="Times New Roman"/>
                <w:sz w:val="18"/>
                <w:szCs w:val="18"/>
              </w:rPr>
            </w:pPr>
            <w:r>
              <w:rPr>
                <w:rFonts w:ascii="Times New Roman"/>
                <w:sz w:val="18"/>
                <w:szCs w:val="18"/>
              </w:rPr>
              <w:t>0.05</w:t>
            </w:r>
          </w:p>
        </w:tc>
        <w:tc>
          <w:tcPr>
            <w:tcW w:w="1843" w:type="dxa"/>
            <w:tcBorders>
              <w:bottom w:val="single" w:color="auto" w:sz="8" w:space="0"/>
            </w:tcBorders>
            <w:vAlign w:val="center"/>
          </w:tcPr>
          <w:p w14:paraId="40B179D4">
            <w:pPr>
              <w:pStyle w:val="50"/>
              <w:ind w:firstLine="0" w:firstLineChars="0"/>
              <w:jc w:val="center"/>
              <w:rPr>
                <w:rFonts w:ascii="Times New Roman"/>
                <w:sz w:val="18"/>
                <w:szCs w:val="18"/>
              </w:rPr>
            </w:pPr>
            <w:r>
              <w:rPr>
                <w:rFonts w:ascii="Times New Roman"/>
                <w:sz w:val="18"/>
                <w:szCs w:val="18"/>
              </w:rPr>
              <w:t>0.12</w:t>
            </w:r>
          </w:p>
        </w:tc>
        <w:tc>
          <w:tcPr>
            <w:tcW w:w="1822" w:type="dxa"/>
            <w:tcBorders>
              <w:bottom w:val="single" w:color="auto" w:sz="8" w:space="0"/>
            </w:tcBorders>
            <w:vAlign w:val="center"/>
          </w:tcPr>
          <w:p w14:paraId="739B822B">
            <w:pPr>
              <w:pStyle w:val="50"/>
              <w:ind w:firstLine="0" w:firstLineChars="0"/>
              <w:jc w:val="center"/>
              <w:rPr>
                <w:rFonts w:ascii="Times New Roman"/>
                <w:sz w:val="18"/>
                <w:szCs w:val="18"/>
              </w:rPr>
            </w:pPr>
            <w:r>
              <w:rPr>
                <w:rFonts w:ascii="Times New Roman"/>
                <w:sz w:val="18"/>
                <w:szCs w:val="18"/>
              </w:rPr>
              <w:t>0.25</w:t>
            </w:r>
          </w:p>
        </w:tc>
      </w:tr>
    </w:tbl>
    <w:p w14:paraId="13CF491C">
      <w:pPr>
        <w:pStyle w:val="2"/>
      </w:pPr>
      <w:bookmarkStart w:id="44" w:name="_Toc209090343"/>
      <w:r>
        <w:rPr>
          <w:rFonts w:hint="eastAsia"/>
        </w:rPr>
        <w:t>6  通用技术要求</w:t>
      </w:r>
      <w:bookmarkEnd w:id="44"/>
    </w:p>
    <w:p w14:paraId="12348361">
      <w:pPr>
        <w:pStyle w:val="3"/>
        <w:spacing w:before="100" w:after="100"/>
        <w:rPr>
          <w:rFonts w:ascii="Times New Roman" w:hAnsi="Times New Roman"/>
        </w:rPr>
      </w:pPr>
      <w:bookmarkStart w:id="45" w:name="_Toc209090344"/>
      <w:r>
        <w:rPr>
          <w:rFonts w:ascii="Times New Roman" w:hAnsi="Times New Roman"/>
        </w:rPr>
        <w:t>6.1</w:t>
      </w:r>
      <w:r>
        <w:rPr>
          <w:rFonts w:hint="eastAsia" w:ascii="Times New Roman" w:hAnsi="Times New Roman"/>
        </w:rPr>
        <w:t xml:space="preserve">  </w:t>
      </w:r>
      <w:r>
        <w:rPr>
          <w:rFonts w:ascii="Times New Roman" w:hAnsi="Times New Roman"/>
        </w:rPr>
        <w:t>标志</w:t>
      </w:r>
      <w:bookmarkEnd w:id="45"/>
    </w:p>
    <w:p w14:paraId="03A0C94E">
      <w:pPr>
        <w:pStyle w:val="43"/>
        <w:numPr>
          <w:ilvl w:val="0"/>
          <w:numId w:val="0"/>
        </w:numPr>
        <w:spacing w:line="360" w:lineRule="auto"/>
        <w:rPr>
          <w:rFonts w:eastAsia="宋体" w:cs="Times New Roman"/>
        </w:rPr>
      </w:pPr>
      <w:r>
        <w:rPr>
          <w:rFonts w:eastAsia="宋体" w:cs="Times New Roman"/>
        </w:rPr>
        <w:t>6.1.1</w:t>
      </w:r>
      <w:r>
        <w:rPr>
          <w:rFonts w:hint="eastAsia" w:eastAsia="宋体" w:cs="Times New Roman"/>
        </w:rPr>
        <w:t xml:space="preserve">  </w:t>
      </w:r>
      <w:r>
        <w:rPr>
          <w:rFonts w:eastAsia="宋体" w:cs="Times New Roman"/>
        </w:rPr>
        <w:t>铭牌</w:t>
      </w:r>
    </w:p>
    <w:p w14:paraId="4A575721">
      <w:pPr>
        <w:spacing w:line="360" w:lineRule="auto"/>
        <w:ind w:firstLine="480" w:firstLineChars="200"/>
        <w:rPr>
          <w:rFonts w:hint="eastAsia" w:ascii="宋体" w:hAnsi="宋体"/>
          <w:sz w:val="24"/>
        </w:rPr>
      </w:pPr>
      <w:r>
        <w:rPr>
          <w:rFonts w:hint="eastAsia" w:ascii="宋体" w:hAnsi="宋体"/>
          <w:sz w:val="24"/>
        </w:rPr>
        <w:t>电能表铭牌上应有下列标志：</w:t>
      </w:r>
    </w:p>
    <w:p w14:paraId="13B663C2">
      <w:pPr>
        <w:spacing w:line="360" w:lineRule="auto"/>
        <w:ind w:firstLine="480" w:firstLineChars="200"/>
        <w:rPr>
          <w:rFonts w:hint="eastAsia" w:ascii="宋体" w:hAnsi="宋体"/>
          <w:sz w:val="24"/>
        </w:rPr>
      </w:pPr>
      <w:r>
        <w:rPr>
          <w:sz w:val="24"/>
        </w:rPr>
        <w:t>——</w:t>
      </w:r>
      <w:r>
        <w:rPr>
          <w:rFonts w:hAnsi="宋体"/>
          <w:sz w:val="24"/>
        </w:rPr>
        <w:t>名称</w:t>
      </w:r>
      <w:r>
        <w:rPr>
          <w:rFonts w:hint="eastAsia" w:hAnsi="宋体"/>
          <w:sz w:val="24"/>
        </w:rPr>
        <w:t>和</w:t>
      </w:r>
      <w:r>
        <w:rPr>
          <w:rFonts w:hAnsi="宋体"/>
          <w:sz w:val="24"/>
        </w:rPr>
        <w:t>型号；</w:t>
      </w:r>
    </w:p>
    <w:p w14:paraId="571DC9FD">
      <w:pPr>
        <w:spacing w:line="360" w:lineRule="auto"/>
        <w:ind w:firstLine="480" w:firstLineChars="200"/>
        <w:rPr>
          <w:rFonts w:hint="eastAsia" w:ascii="宋体" w:hAnsi="宋体"/>
          <w:sz w:val="24"/>
        </w:rPr>
      </w:pPr>
      <w:r>
        <w:rPr>
          <w:sz w:val="24"/>
        </w:rPr>
        <w:t>——</w:t>
      </w:r>
      <w:r>
        <w:rPr>
          <w:rFonts w:hint="eastAsia" w:ascii="宋体" w:hAnsi="宋体"/>
          <w:sz w:val="24"/>
        </w:rPr>
        <w:t>制造厂名；</w:t>
      </w:r>
    </w:p>
    <w:p w14:paraId="2CDAD7D0">
      <w:pPr>
        <w:spacing w:line="360" w:lineRule="auto"/>
        <w:ind w:firstLine="480" w:firstLineChars="200"/>
        <w:rPr>
          <w:rFonts w:hint="eastAsia" w:ascii="宋体" w:hAnsi="宋体"/>
          <w:sz w:val="24"/>
        </w:rPr>
      </w:pPr>
      <w:r>
        <w:rPr>
          <w:sz w:val="24"/>
        </w:rPr>
        <w:t>——制造计量器具许可证</w:t>
      </w:r>
      <w:r>
        <w:rPr>
          <w:rFonts w:hint="eastAsia" w:ascii="宋体" w:hAnsi="宋体"/>
          <w:sz w:val="24"/>
        </w:rPr>
        <w:t>标志和编号；</w:t>
      </w:r>
    </w:p>
    <w:p w14:paraId="6296056D">
      <w:pPr>
        <w:spacing w:line="360" w:lineRule="auto"/>
        <w:ind w:firstLine="480" w:firstLineChars="200"/>
        <w:rPr>
          <w:rFonts w:hint="eastAsia" w:ascii="宋体" w:hAnsi="宋体"/>
          <w:sz w:val="24"/>
        </w:rPr>
      </w:pPr>
      <w:r>
        <w:rPr>
          <w:sz w:val="24"/>
        </w:rPr>
        <w:t>——</w:t>
      </w:r>
      <w:r>
        <w:rPr>
          <w:rFonts w:hAnsi="宋体"/>
          <w:sz w:val="24"/>
        </w:rPr>
        <w:t>产品所依据的标准</w:t>
      </w:r>
      <w:r>
        <w:rPr>
          <w:rFonts w:hint="eastAsia" w:ascii="宋体" w:hAnsi="宋体"/>
          <w:sz w:val="24"/>
        </w:rPr>
        <w:t>；</w:t>
      </w:r>
    </w:p>
    <w:p w14:paraId="305B0FA6">
      <w:pPr>
        <w:spacing w:line="360" w:lineRule="auto"/>
        <w:ind w:firstLine="480" w:firstLineChars="200"/>
        <w:rPr>
          <w:sz w:val="24"/>
        </w:rPr>
      </w:pPr>
      <w:r>
        <w:rPr>
          <w:sz w:val="24"/>
        </w:rPr>
        <w:t>——</w:t>
      </w:r>
      <w:r>
        <w:rPr>
          <w:rFonts w:hint="eastAsia"/>
          <w:sz w:val="24"/>
        </w:rPr>
        <w:t>出厂编号（序列号）</w:t>
      </w:r>
      <w:r>
        <w:rPr>
          <w:sz w:val="24"/>
        </w:rPr>
        <w:t>和制造年份</w:t>
      </w:r>
      <w:r>
        <w:rPr>
          <w:rFonts w:hint="eastAsia"/>
          <w:sz w:val="24"/>
        </w:rPr>
        <w:t>；</w:t>
      </w:r>
    </w:p>
    <w:p w14:paraId="3074201C">
      <w:pPr>
        <w:spacing w:line="360" w:lineRule="auto"/>
        <w:ind w:firstLine="480" w:firstLineChars="200"/>
        <w:rPr>
          <w:rFonts w:hint="eastAsia" w:ascii="宋体" w:hAnsi="宋体"/>
          <w:sz w:val="24"/>
        </w:rPr>
      </w:pPr>
      <w:r>
        <w:rPr>
          <w:sz w:val="24"/>
        </w:rPr>
        <w:t>——</w:t>
      </w:r>
      <w:r>
        <w:rPr>
          <w:rFonts w:hint="eastAsia" w:ascii="宋体" w:hAnsi="宋体"/>
          <w:sz w:val="24"/>
        </w:rPr>
        <w:t>标称电压或标称电压范围；</w:t>
      </w:r>
    </w:p>
    <w:p w14:paraId="43303E47">
      <w:pPr>
        <w:spacing w:line="360" w:lineRule="auto"/>
        <w:ind w:firstLine="480" w:firstLineChars="200"/>
        <w:rPr>
          <w:sz w:val="24"/>
        </w:rPr>
      </w:pPr>
      <w:r>
        <w:rPr>
          <w:sz w:val="24"/>
        </w:rPr>
        <w:t>——</w:t>
      </w:r>
      <w:r>
        <w:rPr>
          <w:rFonts w:hint="eastAsia"/>
          <w:sz w:val="24"/>
        </w:rPr>
        <w:t>最小电流、标称电流和最大电流</w:t>
      </w:r>
      <w:r>
        <w:rPr>
          <w:rFonts w:hint="eastAsia" w:ascii="宋体" w:hAnsi="宋体"/>
          <w:sz w:val="24"/>
          <w:vertAlign w:val="superscript"/>
        </w:rPr>
        <w:t>①</w:t>
      </w:r>
      <w:r>
        <w:rPr>
          <w:rFonts w:hint="eastAsia"/>
          <w:sz w:val="24"/>
        </w:rPr>
        <w:t>；</w:t>
      </w:r>
    </w:p>
    <w:p w14:paraId="72008C9D">
      <w:pPr>
        <w:spacing w:line="360" w:lineRule="auto"/>
        <w:ind w:firstLine="480" w:firstLineChars="200"/>
        <w:rPr>
          <w:sz w:val="24"/>
        </w:rPr>
      </w:pPr>
      <w:r>
        <w:rPr>
          <w:sz w:val="24"/>
        </w:rPr>
        <w:t>——</w:t>
      </w:r>
      <w:r>
        <w:rPr>
          <w:rFonts w:hint="eastAsia"/>
          <w:sz w:val="24"/>
        </w:rPr>
        <w:t>A类仪表，应标注供电电源类型（AC或DC）及额定电压；</w:t>
      </w:r>
    </w:p>
    <w:p w14:paraId="1A1F56F4">
      <w:pPr>
        <w:spacing w:line="360" w:lineRule="auto"/>
        <w:ind w:firstLine="480" w:firstLineChars="200"/>
        <w:rPr>
          <w:rFonts w:hint="eastAsia" w:ascii="宋体" w:hAnsi="宋体"/>
          <w:sz w:val="24"/>
        </w:rPr>
      </w:pPr>
      <w:r>
        <w:rPr>
          <w:sz w:val="24"/>
        </w:rPr>
        <w:t>——</w:t>
      </w:r>
      <w:r>
        <w:rPr>
          <w:rFonts w:hint="eastAsia" w:ascii="宋体" w:hAnsi="宋体"/>
          <w:sz w:val="24"/>
        </w:rPr>
        <w:t>仪表常数；</w:t>
      </w:r>
    </w:p>
    <w:p w14:paraId="3F57821E">
      <w:pPr>
        <w:spacing w:line="360" w:lineRule="auto"/>
        <w:ind w:firstLine="480" w:firstLineChars="200"/>
        <w:rPr>
          <w:rFonts w:hint="eastAsia" w:ascii="宋体" w:hAnsi="宋体"/>
          <w:sz w:val="24"/>
        </w:rPr>
      </w:pPr>
      <w:r>
        <w:rPr>
          <w:sz w:val="24"/>
        </w:rPr>
        <w:t>——</w:t>
      </w:r>
      <w:r>
        <w:rPr>
          <w:rFonts w:hint="eastAsia" w:ascii="宋体" w:hAnsi="宋体"/>
          <w:sz w:val="24"/>
        </w:rPr>
        <w:t>准确度等级；</w:t>
      </w:r>
    </w:p>
    <w:p w14:paraId="1B278A93">
      <w:pPr>
        <w:spacing w:line="360" w:lineRule="auto"/>
        <w:ind w:firstLine="480" w:firstLineChars="200"/>
        <w:rPr>
          <w:rFonts w:hint="eastAsia" w:ascii="宋体" w:hAnsi="宋体"/>
          <w:sz w:val="24"/>
        </w:rPr>
      </w:pPr>
      <w:r>
        <w:rPr>
          <w:sz w:val="24"/>
        </w:rPr>
        <w:t>——</w:t>
      </w:r>
      <w:r>
        <w:rPr>
          <w:rFonts w:hint="eastAsia" w:ascii="宋体" w:hAnsi="宋体"/>
          <w:sz w:val="24"/>
        </w:rPr>
        <w:t xml:space="preserve">计量单位（显示单元为液晶元件时，计量单位可在液晶元件中显示）； </w:t>
      </w:r>
    </w:p>
    <w:p w14:paraId="3A45FBF7">
      <w:pPr>
        <w:spacing w:line="360" w:lineRule="auto"/>
        <w:ind w:firstLine="480" w:firstLineChars="200"/>
        <w:rPr>
          <w:rFonts w:hint="eastAsia" w:ascii="宋体" w:hAnsi="宋体"/>
          <w:sz w:val="24"/>
        </w:rPr>
      </w:pPr>
      <w:r>
        <w:rPr>
          <w:sz w:val="24"/>
        </w:rPr>
        <w:t>——</w:t>
      </w:r>
      <w:r>
        <w:rPr>
          <w:rFonts w:hint="eastAsia" w:ascii="宋体" w:hAnsi="宋体"/>
          <w:sz w:val="24"/>
        </w:rPr>
        <w:t>如有双向计量功能，应有双向计量标识；</w:t>
      </w:r>
    </w:p>
    <w:p w14:paraId="56FBDC6D">
      <w:pPr>
        <w:spacing w:line="360" w:lineRule="auto"/>
        <w:ind w:firstLine="480" w:firstLineChars="200"/>
        <w:rPr>
          <w:rFonts w:hint="eastAsia" w:ascii="宋体" w:hAnsi="宋体"/>
          <w:sz w:val="24"/>
        </w:rPr>
      </w:pPr>
      <w:r>
        <w:rPr>
          <w:sz w:val="24"/>
        </w:rPr>
        <w:t>——</w:t>
      </w:r>
      <w:r>
        <w:rPr>
          <w:rFonts w:hint="eastAsia" w:ascii="宋体" w:hAnsi="宋体"/>
          <w:sz w:val="24"/>
        </w:rPr>
        <w:t>Ⅱ类防护绝缘包封的仪表，应加双方框符号</w:t>
      </w:r>
      <w:r>
        <w:rPr>
          <w:sz w:val="24"/>
        </w:rPr>
        <mc:AlternateContent>
          <mc:Choice Requires="wpg">
            <w:drawing>
              <wp:inline distT="0" distB="0" distL="0" distR="0">
                <wp:extent cx="148590" cy="148590"/>
                <wp:effectExtent l="8890" t="13970" r="13970" b="8890"/>
                <wp:docPr id="1734249304" name="Group 2871"/>
                <wp:cNvGraphicFramePr/>
                <a:graphic xmlns:a="http://schemas.openxmlformats.org/drawingml/2006/main">
                  <a:graphicData uri="http://schemas.microsoft.com/office/word/2010/wordprocessingGroup">
                    <wpg:wgp>
                      <wpg:cNvGrpSpPr/>
                      <wpg:grpSpPr>
                        <a:xfrm>
                          <a:off x="0" y="0"/>
                          <a:ext cx="148590" cy="148590"/>
                          <a:chOff x="5534" y="1561"/>
                          <a:chExt cx="1830" cy="1830"/>
                        </a:xfrm>
                      </wpg:grpSpPr>
                      <wps:wsp>
                        <wps:cNvPr id="1034824250" name="Rectangle 2872"/>
                        <wps:cNvSpPr>
                          <a:spLocks noChangeArrowheads="1"/>
                        </wps:cNvSpPr>
                        <wps:spPr bwMode="auto">
                          <a:xfrm>
                            <a:off x="5534" y="1561"/>
                            <a:ext cx="1830" cy="183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2047621049" name="Rectangle 2873"/>
                        <wps:cNvSpPr>
                          <a:spLocks noChangeArrowheads="1"/>
                        </wps:cNvSpPr>
                        <wps:spPr bwMode="auto">
                          <a:xfrm>
                            <a:off x="5934" y="1959"/>
                            <a:ext cx="1036" cy="1036"/>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wgp>
                  </a:graphicData>
                </a:graphic>
              </wp:inline>
            </w:drawing>
          </mc:Choice>
          <mc:Fallback>
            <w:pict>
              <v:group id="Group 2871" o:spid="_x0000_s1026" o:spt="203" style="height:11.7pt;width:11.7pt;" coordorigin="5534,1561" coordsize="1830,1830" o:gfxdata="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NiFSpnTAAAAAwEAAA8A&#10;AAAAAAAAAQAgAAAAIgAAAGRycy9kb3ducmV2LnhtbFBLAQIUABQAAAAIAIdO4kA/YEvXxwIAAFoI&#10;AAAOAAAAAAAAAAEAIAAAACIBAABkcnMvZTJvRG9jLnhtbFBLBQYAAAAABgAGAFkBAABbBgAAAAA=&#10;">
                <o:lock v:ext="edit" aspectratio="f"/>
                <v:rect id="Rectangle 2872" o:spid="_x0000_s1026" o:spt="1" style="position:absolute;left:5534;top:1561;height:1830;width:1830;" fillcolor="#FFFFFF" filled="t" stroked="t" coordsize="21600,21600" o:gfxdata="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q5p9c8QAAADjAAAADwAAAAAAAAABACAAAAAiAAAAZHJzL2Rvd25yZXYueG1sUEsBAhQAFAAAAAgA&#10;h07iQDMvBZ47AAAAOQAAABAAAAAAAAAAAQAgAAAAEwEAAGRycy9zaGFwZXhtbC54bWxQSwUGAAAA&#10;AAYABgBbAQAAvQMAAAAA&#10;">
                  <v:fill on="t" focussize="0,0"/>
                  <v:stroke color="#000000" miterlimit="8" joinstyle="miter"/>
                  <v:imagedata o:title=""/>
                  <o:lock v:ext="edit" aspectratio="f"/>
                </v:rect>
                <v:rect id="Rectangle 2873" o:spid="_x0000_s1026" o:spt="1" style="position:absolute;left:5934;top:1959;height:1036;width:1036;" fillcolor="#FFFFFF" filled="t" stroked="t" coordsize="21600,21600" o:gfxdata="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S8pe8QAAADjAAAADwAAAAAAAAABACAAAAAiAAAAZHJzL2Rvd25yZXYueG1sUEsBAhQAFAAAAAgA&#10;h07iQDMvBZ47AAAAOQAAABAAAAAAAAAAAQAgAAAAEwEAAGRycy9zaGFwZXhtbC54bWxQSwUGAAAA&#10;AAYABgBbAQAAvQMAAAAA&#10;">
                  <v:fill on="t" focussize="0,0"/>
                  <v:stroke color="#000000" miterlimit="8" joinstyle="miter"/>
                  <v:imagedata o:title=""/>
                  <o:lock v:ext="edit" aspectratio="f"/>
                </v:rect>
                <w10:wrap type="none"/>
                <w10:anchorlock/>
              </v:group>
            </w:pict>
          </mc:Fallback>
        </mc:AlternateContent>
      </w:r>
      <w:r>
        <w:rPr>
          <w:rFonts w:hint="eastAsia" w:ascii="宋体" w:hAnsi="宋体"/>
          <w:sz w:val="24"/>
        </w:rPr>
        <w:t>。</w:t>
      </w:r>
    </w:p>
    <w:p w14:paraId="6F68674B">
      <w:pPr>
        <w:spacing w:line="360" w:lineRule="auto"/>
        <w:ind w:firstLine="480" w:firstLineChars="200"/>
        <w:rPr>
          <w:rFonts w:hint="eastAsia" w:ascii="宋体" w:hAnsi="宋体"/>
          <w:sz w:val="24"/>
        </w:rPr>
      </w:pPr>
      <w:r>
        <w:rPr>
          <w:rFonts w:hint="eastAsia" w:ascii="宋体" w:hAnsi="宋体"/>
          <w:sz w:val="24"/>
        </w:rPr>
        <w:t>以上各种标志应符合相关标准的规定。</w:t>
      </w:r>
    </w:p>
    <w:p w14:paraId="726B509B">
      <w:pPr>
        <w:spacing w:line="360" w:lineRule="auto"/>
        <w:ind w:firstLine="420" w:firstLineChars="200"/>
        <w:rPr>
          <w:rFonts w:hint="eastAsia" w:ascii="宋体" w:hAnsi="宋体"/>
          <w:szCs w:val="21"/>
        </w:rPr>
      </w:pPr>
      <w:r>
        <w:rPr>
          <w:rFonts w:hint="eastAsia" w:ascii="宋体" w:hAnsi="宋体"/>
          <w:szCs w:val="21"/>
        </w:rPr>
        <w:t>①注:对于直接接入电能表，应标注最小电流、标称电流和最大电流；以电流信号形式输入的间接接入电能表，应标注最小电流、标称电流和最大电流；以电压信号形式输入的间接接入电能表，应标注最小电流对应的二次电压信号、标称电流对应的二次电压信号和最大电流对应的二次电压信号。</w:t>
      </w:r>
    </w:p>
    <w:p w14:paraId="535172C7">
      <w:pPr>
        <w:pStyle w:val="43"/>
        <w:numPr>
          <w:ilvl w:val="0"/>
          <w:numId w:val="0"/>
        </w:numPr>
        <w:spacing w:line="360" w:lineRule="auto"/>
        <w:rPr>
          <w:rFonts w:eastAsia="宋体" w:cs="Times New Roman"/>
        </w:rPr>
      </w:pPr>
      <w:r>
        <w:rPr>
          <w:rFonts w:eastAsia="宋体" w:cs="Times New Roman"/>
        </w:rPr>
        <w:t>6.1.2</w:t>
      </w:r>
      <w:r>
        <w:rPr>
          <w:rFonts w:hint="eastAsia" w:eastAsia="宋体" w:cs="Times New Roman"/>
        </w:rPr>
        <w:t xml:space="preserve">  </w:t>
      </w:r>
      <w:r>
        <w:rPr>
          <w:rFonts w:eastAsia="宋体" w:cs="Times New Roman"/>
        </w:rPr>
        <w:t>接线图和端子标志</w:t>
      </w:r>
    </w:p>
    <w:p w14:paraId="76AD1D2C">
      <w:pPr>
        <w:spacing w:line="360" w:lineRule="auto"/>
        <w:ind w:firstLine="480" w:firstLineChars="200"/>
        <w:rPr>
          <w:sz w:val="24"/>
        </w:rPr>
      </w:pPr>
      <w:r>
        <w:rPr>
          <w:sz w:val="24"/>
        </w:rPr>
        <w:t>在电能表上应标志出接线图。如果对接线端子进行了编号，则此编号应在接线图对应的位置体现</w:t>
      </w:r>
      <w:r>
        <w:rPr>
          <w:rFonts w:hint="eastAsia"/>
          <w:sz w:val="24"/>
        </w:rPr>
        <w:t>；</w:t>
      </w:r>
      <w:r>
        <w:rPr>
          <w:sz w:val="24"/>
        </w:rPr>
        <w:t>有计时功能的电能表，应有供测试的秒脉冲输出端子标志。</w:t>
      </w:r>
    </w:p>
    <w:p w14:paraId="6A451BDD">
      <w:pPr>
        <w:pStyle w:val="3"/>
        <w:rPr>
          <w:rFonts w:ascii="Times New Roman" w:hAnsi="Times New Roman"/>
        </w:rPr>
      </w:pPr>
      <w:bookmarkStart w:id="46" w:name="_Toc209090345"/>
      <w:r>
        <w:rPr>
          <w:rFonts w:ascii="Times New Roman" w:hAnsi="Times New Roman"/>
        </w:rPr>
        <w:t>6.2</w:t>
      </w:r>
      <w:r>
        <w:rPr>
          <w:rFonts w:hint="eastAsia" w:ascii="Times New Roman" w:hAnsi="Times New Roman"/>
        </w:rPr>
        <w:t xml:space="preserve">  </w:t>
      </w:r>
      <w:r>
        <w:rPr>
          <w:rFonts w:ascii="Times New Roman" w:hAnsi="Times New Roman"/>
        </w:rPr>
        <w:t>绝缘电阻试验</w:t>
      </w:r>
      <w:bookmarkEnd w:id="46"/>
    </w:p>
    <w:p w14:paraId="49B3FC68">
      <w:pPr>
        <w:spacing w:line="360" w:lineRule="auto"/>
        <w:ind w:firstLine="480" w:firstLineChars="200"/>
        <w:rPr>
          <w:sz w:val="24"/>
        </w:rPr>
      </w:pPr>
      <w:r>
        <w:rPr>
          <w:rFonts w:hint="eastAsia"/>
          <w:sz w:val="24"/>
        </w:rPr>
        <w:t>具有金属外壳的仪表，</w:t>
      </w:r>
      <w:r>
        <w:rPr>
          <w:sz w:val="24"/>
        </w:rPr>
        <w:t>测</w:t>
      </w:r>
      <w:r>
        <w:rPr>
          <w:rFonts w:hint="eastAsia"/>
          <w:sz w:val="24"/>
        </w:rPr>
        <w:t>量</w:t>
      </w:r>
      <w:r>
        <w:rPr>
          <w:sz w:val="24"/>
        </w:rPr>
        <w:t>绝缘电阻的</w:t>
      </w:r>
      <w:r>
        <w:rPr>
          <w:rFonts w:hint="eastAsia"/>
          <w:sz w:val="24"/>
        </w:rPr>
        <w:t>试验</w:t>
      </w:r>
      <w:r>
        <w:rPr>
          <w:sz w:val="24"/>
        </w:rPr>
        <w:t>电压为1 kV</w:t>
      </w:r>
      <w:r>
        <w:rPr>
          <w:rFonts w:hint="eastAsia"/>
          <w:sz w:val="24"/>
        </w:rPr>
        <w:t>，绝缘电阻不应小于</w:t>
      </w:r>
      <w:r>
        <w:rPr>
          <w:sz w:val="24"/>
        </w:rPr>
        <w:t>40</w:t>
      </w:r>
      <w:r>
        <w:rPr>
          <w:rFonts w:hint="eastAsia"/>
          <w:sz w:val="24"/>
        </w:rPr>
        <w:t xml:space="preserve"> </w:t>
      </w:r>
      <w:r>
        <w:rPr>
          <w:sz w:val="24"/>
        </w:rPr>
        <w:t>M</w:t>
      </w:r>
      <w:r>
        <w:rPr>
          <w:rFonts w:hint="eastAsia"/>
          <w:sz w:val="24"/>
        </w:rPr>
        <w:t>Ω。</w:t>
      </w:r>
    </w:p>
    <w:p w14:paraId="598E0857">
      <w:pPr>
        <w:pStyle w:val="3"/>
        <w:rPr>
          <w:rFonts w:ascii="Times New Roman" w:hAnsi="Times New Roman"/>
        </w:rPr>
      </w:pPr>
      <w:bookmarkStart w:id="47" w:name="_Toc209090346"/>
      <w:r>
        <w:rPr>
          <w:rFonts w:ascii="Times New Roman" w:hAnsi="Times New Roman"/>
        </w:rPr>
        <w:t>6.3</w:t>
      </w:r>
      <w:r>
        <w:rPr>
          <w:rFonts w:hint="eastAsia" w:ascii="Times New Roman" w:hAnsi="Times New Roman"/>
        </w:rPr>
        <w:t xml:space="preserve">  直流电压</w:t>
      </w:r>
      <w:r>
        <w:rPr>
          <w:rFonts w:ascii="Times New Roman" w:hAnsi="Times New Roman"/>
        </w:rPr>
        <w:t>试验</w:t>
      </w:r>
      <w:bookmarkEnd w:id="47"/>
    </w:p>
    <w:p w14:paraId="5443D513">
      <w:pPr>
        <w:spacing w:line="360" w:lineRule="auto"/>
        <w:ind w:firstLine="480" w:firstLineChars="200"/>
        <w:rPr>
          <w:sz w:val="24"/>
        </w:rPr>
      </w:pPr>
      <w:r>
        <w:rPr>
          <w:rFonts w:hint="eastAsia"/>
          <w:sz w:val="24"/>
        </w:rPr>
        <w:t>在规定的试验条件、施加点间进行直流电压试验，试验中不应出现击穿放电（闪络、飞弧或击穿）。试验结束后电能表应无损坏，能正常工作。</w:t>
      </w:r>
      <w:r>
        <w:rPr>
          <w:sz w:val="24"/>
        </w:rPr>
        <w:t>试验电压值见表</w:t>
      </w:r>
      <w:r>
        <w:rPr>
          <w:rFonts w:hint="eastAsia"/>
          <w:sz w:val="24"/>
        </w:rPr>
        <w:t>5</w:t>
      </w:r>
      <w:r>
        <w:rPr>
          <w:sz w:val="24"/>
        </w:rPr>
        <w:t>。</w:t>
      </w:r>
    </w:p>
    <w:p w14:paraId="70E033D0">
      <w:pPr>
        <w:tabs>
          <w:tab w:val="left" w:pos="540"/>
        </w:tabs>
        <w:jc w:val="center"/>
        <w:rPr>
          <w:rFonts w:eastAsia="黑体"/>
          <w:color w:val="000000"/>
          <w:szCs w:val="21"/>
        </w:rPr>
      </w:pPr>
      <w:bookmarkStart w:id="48" w:name="_Toc445391072"/>
      <w:bookmarkStart w:id="49" w:name="_Toc445041691"/>
      <w:r>
        <w:rPr>
          <w:rFonts w:eastAsia="黑体"/>
          <w:szCs w:val="21"/>
        </w:rPr>
        <w:t>表4 直流电压试验</w:t>
      </w:r>
      <w:bookmarkEnd w:id="48"/>
      <w:bookmarkEnd w:id="49"/>
    </w:p>
    <w:tbl>
      <w:tblPr>
        <w:tblStyle w:val="3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396"/>
        <w:gridCol w:w="2613"/>
        <w:gridCol w:w="2561"/>
      </w:tblGrid>
      <w:tr w14:paraId="2643A3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Merge w:val="restart"/>
            <w:vAlign w:val="center"/>
          </w:tcPr>
          <w:p w14:paraId="6430A0EF">
            <w:pPr>
              <w:tabs>
                <w:tab w:val="left" w:pos="540"/>
              </w:tabs>
              <w:jc w:val="center"/>
              <w:rPr>
                <w:szCs w:val="21"/>
              </w:rPr>
            </w:pPr>
            <w:r>
              <w:rPr>
                <w:szCs w:val="21"/>
              </w:rPr>
              <w:t>试验电压施加的点</w:t>
            </w:r>
          </w:p>
        </w:tc>
        <w:tc>
          <w:tcPr>
            <w:tcW w:w="0" w:type="auto"/>
            <w:gridSpan w:val="2"/>
            <w:vAlign w:val="center"/>
          </w:tcPr>
          <w:p w14:paraId="389AD0A9">
            <w:pPr>
              <w:tabs>
                <w:tab w:val="left" w:pos="540"/>
              </w:tabs>
              <w:jc w:val="center"/>
              <w:rPr>
                <w:szCs w:val="21"/>
              </w:rPr>
            </w:pPr>
            <w:r>
              <w:rPr>
                <w:rFonts w:hint="eastAsia"/>
                <w:szCs w:val="21"/>
              </w:rPr>
              <w:t>直流</w:t>
            </w:r>
            <w:r>
              <w:rPr>
                <w:szCs w:val="21"/>
              </w:rPr>
              <w:t>试验电压( V)</w:t>
            </w:r>
          </w:p>
        </w:tc>
      </w:tr>
      <w:tr w14:paraId="7AFF54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Merge w:val="continue"/>
            <w:vAlign w:val="center"/>
          </w:tcPr>
          <w:p w14:paraId="0BD4459B">
            <w:pPr>
              <w:tabs>
                <w:tab w:val="left" w:pos="540"/>
              </w:tabs>
              <w:jc w:val="center"/>
              <w:rPr>
                <w:szCs w:val="21"/>
              </w:rPr>
            </w:pPr>
          </w:p>
        </w:tc>
        <w:tc>
          <w:tcPr>
            <w:tcW w:w="0" w:type="auto"/>
            <w:vAlign w:val="center"/>
          </w:tcPr>
          <w:p w14:paraId="697F1124">
            <w:pPr>
              <w:tabs>
                <w:tab w:val="left" w:pos="540"/>
              </w:tabs>
              <w:jc w:val="center"/>
              <w:rPr>
                <w:szCs w:val="21"/>
              </w:rPr>
            </w:pPr>
            <w:r>
              <w:rPr>
                <w:rFonts w:hint="eastAsia"/>
                <w:szCs w:val="21"/>
              </w:rPr>
              <w:t>I</w:t>
            </w:r>
            <w:r>
              <w:rPr>
                <w:szCs w:val="21"/>
              </w:rPr>
              <w:t>类防护</w:t>
            </w:r>
          </w:p>
        </w:tc>
        <w:tc>
          <w:tcPr>
            <w:tcW w:w="0" w:type="auto"/>
            <w:vAlign w:val="center"/>
          </w:tcPr>
          <w:p w14:paraId="4AC17702">
            <w:pPr>
              <w:tabs>
                <w:tab w:val="left" w:pos="540"/>
              </w:tabs>
              <w:jc w:val="center"/>
              <w:rPr>
                <w:szCs w:val="21"/>
              </w:rPr>
            </w:pPr>
            <w:r>
              <w:rPr>
                <w:rFonts w:hint="eastAsia"/>
                <w:szCs w:val="21"/>
              </w:rPr>
              <w:t>II</w:t>
            </w:r>
            <w:r>
              <w:rPr>
                <w:szCs w:val="21"/>
              </w:rPr>
              <w:t>类防护</w:t>
            </w:r>
          </w:p>
        </w:tc>
      </w:tr>
      <w:tr w14:paraId="6BCC89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Align w:val="center"/>
          </w:tcPr>
          <w:p w14:paraId="3068FF34">
            <w:pPr>
              <w:tabs>
                <w:tab w:val="left" w:pos="540"/>
              </w:tabs>
              <w:rPr>
                <w:szCs w:val="21"/>
              </w:rPr>
            </w:pPr>
            <w:r>
              <w:rPr>
                <w:rFonts w:hint="eastAsia"/>
                <w:szCs w:val="21"/>
              </w:rPr>
              <w:t>a）</w:t>
            </w:r>
            <w:r>
              <w:rPr>
                <w:szCs w:val="21"/>
              </w:rPr>
              <w:t xml:space="preserve"> 在所有电</w:t>
            </w:r>
            <w:r>
              <w:rPr>
                <w:rFonts w:hint="eastAsia"/>
                <w:szCs w:val="21"/>
              </w:rPr>
              <w:t>源</w:t>
            </w:r>
            <w:r>
              <w:rPr>
                <w:szCs w:val="21"/>
              </w:rPr>
              <w:t>电路连接在一起作为一端和另一端是地之间</w:t>
            </w:r>
          </w:p>
        </w:tc>
        <w:tc>
          <w:tcPr>
            <w:tcW w:w="0" w:type="auto"/>
            <w:vAlign w:val="center"/>
          </w:tcPr>
          <w:p w14:paraId="47134D46">
            <w:pPr>
              <w:autoSpaceDE w:val="0"/>
              <w:autoSpaceDN w:val="0"/>
              <w:rPr>
                <w:szCs w:val="21"/>
              </w:rPr>
            </w:pPr>
            <w:r>
              <w:rPr>
                <w:szCs w:val="21"/>
              </w:rPr>
              <w:t>施加表</w:t>
            </w:r>
            <w:r>
              <w:rPr>
                <w:rFonts w:hint="eastAsia"/>
                <w:szCs w:val="21"/>
              </w:rPr>
              <w:t>5</w:t>
            </w:r>
            <w:r>
              <w:rPr>
                <w:szCs w:val="21"/>
              </w:rPr>
              <w:t>中适用于基本绝缘的值。</w:t>
            </w:r>
          </w:p>
        </w:tc>
        <w:tc>
          <w:tcPr>
            <w:tcW w:w="0" w:type="auto"/>
            <w:vAlign w:val="center"/>
          </w:tcPr>
          <w:p w14:paraId="4A885909">
            <w:pPr>
              <w:autoSpaceDE w:val="0"/>
              <w:autoSpaceDN w:val="0"/>
              <w:rPr>
                <w:szCs w:val="21"/>
              </w:rPr>
            </w:pPr>
            <w:r>
              <w:rPr>
                <w:szCs w:val="21"/>
              </w:rPr>
              <w:t>施加下表</w:t>
            </w:r>
            <w:r>
              <w:rPr>
                <w:rFonts w:hint="eastAsia"/>
                <w:szCs w:val="21"/>
              </w:rPr>
              <w:t>5</w:t>
            </w:r>
            <w:r>
              <w:rPr>
                <w:szCs w:val="21"/>
              </w:rPr>
              <w:t>中适用于加强绝缘的值</w:t>
            </w:r>
          </w:p>
        </w:tc>
      </w:tr>
      <w:tr w14:paraId="7C91C7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Align w:val="center"/>
          </w:tcPr>
          <w:p w14:paraId="20C7E942">
            <w:pPr>
              <w:tabs>
                <w:tab w:val="left" w:pos="540"/>
              </w:tabs>
              <w:rPr>
                <w:szCs w:val="21"/>
              </w:rPr>
            </w:pPr>
            <w:r>
              <w:rPr>
                <w:szCs w:val="21"/>
              </w:rPr>
              <w:t>b）所有使用中不连接在一起的电</w:t>
            </w:r>
            <w:r>
              <w:rPr>
                <w:rFonts w:hint="eastAsia"/>
                <w:szCs w:val="21"/>
              </w:rPr>
              <w:t>源</w:t>
            </w:r>
            <w:r>
              <w:rPr>
                <w:szCs w:val="21"/>
              </w:rPr>
              <w:t>电路之间</w:t>
            </w:r>
          </w:p>
        </w:tc>
        <w:tc>
          <w:tcPr>
            <w:tcW w:w="0" w:type="auto"/>
            <w:gridSpan w:val="2"/>
            <w:vAlign w:val="center"/>
          </w:tcPr>
          <w:p w14:paraId="304C5CD3">
            <w:pPr>
              <w:tabs>
                <w:tab w:val="left" w:pos="540"/>
              </w:tabs>
              <w:jc w:val="center"/>
              <w:rPr>
                <w:szCs w:val="21"/>
              </w:rPr>
            </w:pPr>
            <w:r>
              <w:rPr>
                <w:szCs w:val="21"/>
              </w:rPr>
              <w:t>施加表</w:t>
            </w:r>
            <w:r>
              <w:rPr>
                <w:rFonts w:hint="eastAsia"/>
                <w:szCs w:val="21"/>
              </w:rPr>
              <w:t>5</w:t>
            </w:r>
            <w:r>
              <w:rPr>
                <w:szCs w:val="21"/>
              </w:rPr>
              <w:t>中适用于基本绝缘的值。</w:t>
            </w:r>
          </w:p>
        </w:tc>
      </w:tr>
    </w:tbl>
    <w:p w14:paraId="1A5BE8A5">
      <w:pPr>
        <w:spacing w:line="360" w:lineRule="auto"/>
        <w:jc w:val="center"/>
        <w:rPr>
          <w:rFonts w:eastAsia="黑体"/>
          <w:b/>
        </w:rPr>
      </w:pPr>
    </w:p>
    <w:p w14:paraId="49522E44">
      <w:pPr>
        <w:spacing w:line="360" w:lineRule="auto"/>
        <w:jc w:val="center"/>
        <w:rPr>
          <w:rFonts w:eastAsia="黑体"/>
          <w:b/>
        </w:rPr>
      </w:pPr>
      <w:r>
        <w:rPr>
          <w:rFonts w:eastAsia="黑体"/>
          <w:b/>
        </w:rPr>
        <w:t>表5  直流电压试验</w:t>
      </w:r>
    </w:p>
    <w:tbl>
      <w:tblPr>
        <w:tblStyle w:val="33"/>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3750"/>
        <w:gridCol w:w="3508"/>
      </w:tblGrid>
      <w:tr w14:paraId="2154F6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08" w:type="pct"/>
            <w:vMerge w:val="restart"/>
            <w:tcBorders>
              <w:top w:val="single" w:color="auto" w:sz="12" w:space="0"/>
              <w:left w:val="single" w:color="auto" w:sz="12" w:space="0"/>
            </w:tcBorders>
            <w:vAlign w:val="center"/>
          </w:tcPr>
          <w:p w14:paraId="70C5C3E9">
            <w:pPr>
              <w:spacing w:line="360" w:lineRule="auto"/>
              <w:ind w:firstLine="840" w:firstLineChars="400"/>
              <w:rPr>
                <w:szCs w:val="21"/>
              </w:rPr>
            </w:pPr>
            <w:r>
              <w:rPr>
                <w:szCs w:val="21"/>
              </w:rPr>
              <w:t>电压</w:t>
            </w:r>
          </w:p>
        </w:tc>
        <w:tc>
          <w:tcPr>
            <w:tcW w:w="3792" w:type="pct"/>
            <w:gridSpan w:val="2"/>
            <w:tcBorders>
              <w:top w:val="single" w:color="auto" w:sz="12" w:space="0"/>
              <w:bottom w:val="single" w:color="auto" w:sz="8" w:space="0"/>
              <w:right w:val="single" w:color="auto" w:sz="12" w:space="0"/>
            </w:tcBorders>
            <w:vAlign w:val="center"/>
          </w:tcPr>
          <w:p w14:paraId="6DF9C059">
            <w:pPr>
              <w:spacing w:line="360" w:lineRule="auto"/>
              <w:jc w:val="center"/>
              <w:rPr>
                <w:szCs w:val="21"/>
              </w:rPr>
            </w:pPr>
            <w:r>
              <w:rPr>
                <w:rFonts w:hint="eastAsia"/>
                <w:szCs w:val="21"/>
              </w:rPr>
              <w:t>直流</w:t>
            </w:r>
            <w:r>
              <w:rPr>
                <w:szCs w:val="21"/>
              </w:rPr>
              <w:t>试验电压（</w:t>
            </w:r>
            <w:r>
              <w:rPr>
                <w:rFonts w:hint="eastAsia"/>
                <w:szCs w:val="21"/>
              </w:rPr>
              <w:t>峰值</w:t>
            </w:r>
            <w:r>
              <w:rPr>
                <w:szCs w:val="21"/>
              </w:rPr>
              <w:t>）/ V</w:t>
            </w:r>
          </w:p>
        </w:tc>
      </w:tr>
      <w:tr w14:paraId="545DB4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208" w:type="pct"/>
            <w:vMerge w:val="continue"/>
            <w:tcBorders>
              <w:top w:val="single" w:color="auto" w:sz="8" w:space="0"/>
              <w:left w:val="single" w:color="auto" w:sz="12" w:space="0"/>
            </w:tcBorders>
            <w:vAlign w:val="center"/>
          </w:tcPr>
          <w:p w14:paraId="53748F62">
            <w:pPr>
              <w:spacing w:line="360" w:lineRule="auto"/>
              <w:ind w:firstLine="420" w:firstLineChars="200"/>
              <w:rPr>
                <w:szCs w:val="21"/>
              </w:rPr>
            </w:pPr>
          </w:p>
        </w:tc>
        <w:tc>
          <w:tcPr>
            <w:tcW w:w="1959" w:type="pct"/>
            <w:tcBorders>
              <w:top w:val="single" w:color="auto" w:sz="8" w:space="0"/>
            </w:tcBorders>
            <w:vAlign w:val="center"/>
          </w:tcPr>
          <w:p w14:paraId="39AD928C">
            <w:pPr>
              <w:spacing w:line="360" w:lineRule="auto"/>
              <w:jc w:val="center"/>
              <w:rPr>
                <w:szCs w:val="21"/>
              </w:rPr>
            </w:pPr>
            <w:r>
              <w:rPr>
                <w:szCs w:val="21"/>
              </w:rPr>
              <w:t>基本绝缘及附加绝缘（</w:t>
            </w:r>
            <w:r>
              <w:rPr>
                <w:rFonts w:hint="eastAsia" w:ascii="宋体" w:hAnsi="宋体" w:cs="宋体"/>
                <w:szCs w:val="21"/>
              </w:rPr>
              <w:t>Ⅰ</w:t>
            </w:r>
            <w:r>
              <w:rPr>
                <w:szCs w:val="21"/>
              </w:rPr>
              <w:t>类绝缘）</w:t>
            </w:r>
          </w:p>
        </w:tc>
        <w:tc>
          <w:tcPr>
            <w:tcW w:w="1833" w:type="pct"/>
            <w:tcBorders>
              <w:top w:val="single" w:color="auto" w:sz="8" w:space="0"/>
              <w:right w:val="single" w:color="auto" w:sz="12" w:space="0"/>
            </w:tcBorders>
            <w:vAlign w:val="center"/>
          </w:tcPr>
          <w:p w14:paraId="52DBC692">
            <w:pPr>
              <w:spacing w:line="360" w:lineRule="auto"/>
              <w:jc w:val="center"/>
              <w:rPr>
                <w:szCs w:val="21"/>
              </w:rPr>
            </w:pPr>
            <w:r>
              <w:rPr>
                <w:szCs w:val="21"/>
              </w:rPr>
              <w:t>加强绝缘（</w:t>
            </w:r>
            <w:r>
              <w:rPr>
                <w:rFonts w:hint="eastAsia" w:ascii="宋体" w:hAnsi="宋体" w:cs="宋体"/>
                <w:szCs w:val="21"/>
              </w:rPr>
              <w:t>Ⅱ</w:t>
            </w:r>
            <w:r>
              <w:rPr>
                <w:szCs w:val="21"/>
              </w:rPr>
              <w:t>类绝缘）</w:t>
            </w:r>
          </w:p>
        </w:tc>
      </w:tr>
      <w:tr w14:paraId="4A7E6C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08" w:type="pct"/>
            <w:tcBorders>
              <w:top w:val="single" w:color="auto" w:sz="8" w:space="0"/>
              <w:left w:val="single" w:color="auto" w:sz="12" w:space="0"/>
            </w:tcBorders>
            <w:vAlign w:val="center"/>
          </w:tcPr>
          <w:p w14:paraId="29DC5DA0">
            <w:pPr>
              <w:spacing w:line="360" w:lineRule="auto"/>
              <w:jc w:val="center"/>
              <w:rPr>
                <w:szCs w:val="21"/>
              </w:rPr>
            </w:pPr>
            <w:r>
              <w:rPr>
                <w:i/>
                <w:szCs w:val="21"/>
              </w:rPr>
              <w:t>U</w:t>
            </w:r>
            <w:r>
              <w:rPr>
                <w:rFonts w:ascii="宋体" w:hAnsi="宋体"/>
                <w:szCs w:val="21"/>
              </w:rPr>
              <w:t>≤</w:t>
            </w:r>
            <w:r>
              <w:rPr>
                <w:szCs w:val="21"/>
              </w:rPr>
              <w:t>150V</w:t>
            </w:r>
          </w:p>
        </w:tc>
        <w:tc>
          <w:tcPr>
            <w:tcW w:w="1959" w:type="pct"/>
            <w:tcBorders>
              <w:top w:val="single" w:color="auto" w:sz="8" w:space="0"/>
            </w:tcBorders>
            <w:vAlign w:val="center"/>
          </w:tcPr>
          <w:p w14:paraId="06008BCF">
            <w:pPr>
              <w:spacing w:line="360" w:lineRule="auto"/>
              <w:jc w:val="center"/>
              <w:rPr>
                <w:szCs w:val="21"/>
              </w:rPr>
            </w:pPr>
            <w:r>
              <w:rPr>
                <w:rFonts w:hint="eastAsia"/>
                <w:szCs w:val="21"/>
              </w:rPr>
              <w:t>1900</w:t>
            </w:r>
          </w:p>
        </w:tc>
        <w:tc>
          <w:tcPr>
            <w:tcW w:w="1833" w:type="pct"/>
            <w:tcBorders>
              <w:top w:val="single" w:color="auto" w:sz="8" w:space="0"/>
              <w:right w:val="single" w:color="auto" w:sz="12" w:space="0"/>
            </w:tcBorders>
            <w:vAlign w:val="center"/>
          </w:tcPr>
          <w:p w14:paraId="5E003F04">
            <w:pPr>
              <w:spacing w:line="360" w:lineRule="auto"/>
              <w:jc w:val="center"/>
              <w:rPr>
                <w:szCs w:val="21"/>
              </w:rPr>
            </w:pPr>
            <w:r>
              <w:rPr>
                <w:rFonts w:hint="eastAsia"/>
                <w:szCs w:val="21"/>
              </w:rPr>
              <w:t>3800</w:t>
            </w:r>
          </w:p>
        </w:tc>
      </w:tr>
      <w:tr w14:paraId="0833E8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08" w:type="pct"/>
            <w:tcBorders>
              <w:left w:val="single" w:color="auto" w:sz="12" w:space="0"/>
            </w:tcBorders>
            <w:vAlign w:val="center"/>
          </w:tcPr>
          <w:p w14:paraId="6F2285FD">
            <w:pPr>
              <w:spacing w:line="360" w:lineRule="auto"/>
              <w:jc w:val="center"/>
              <w:rPr>
                <w:szCs w:val="21"/>
              </w:rPr>
            </w:pPr>
            <w:r>
              <w:rPr>
                <w:szCs w:val="21"/>
              </w:rPr>
              <w:t>150V＜</w:t>
            </w:r>
            <w:r>
              <w:rPr>
                <w:i/>
                <w:szCs w:val="21"/>
              </w:rPr>
              <w:t>U</w:t>
            </w:r>
            <w:r>
              <w:rPr>
                <w:rFonts w:ascii="宋体" w:hAnsi="宋体"/>
                <w:szCs w:val="21"/>
              </w:rPr>
              <w:t>≤</w:t>
            </w:r>
            <w:r>
              <w:rPr>
                <w:szCs w:val="21"/>
              </w:rPr>
              <w:t>300V</w:t>
            </w:r>
          </w:p>
        </w:tc>
        <w:tc>
          <w:tcPr>
            <w:tcW w:w="1959" w:type="pct"/>
            <w:vAlign w:val="center"/>
          </w:tcPr>
          <w:p w14:paraId="1A7B2DDA">
            <w:pPr>
              <w:spacing w:line="360" w:lineRule="auto"/>
              <w:jc w:val="center"/>
              <w:rPr>
                <w:szCs w:val="21"/>
              </w:rPr>
            </w:pPr>
            <w:r>
              <w:rPr>
                <w:rFonts w:hint="eastAsia"/>
                <w:szCs w:val="21"/>
              </w:rPr>
              <w:t>2100</w:t>
            </w:r>
          </w:p>
        </w:tc>
        <w:tc>
          <w:tcPr>
            <w:tcW w:w="1833" w:type="pct"/>
            <w:tcBorders>
              <w:right w:val="single" w:color="auto" w:sz="12" w:space="0"/>
            </w:tcBorders>
            <w:vAlign w:val="center"/>
          </w:tcPr>
          <w:p w14:paraId="029AD040">
            <w:pPr>
              <w:spacing w:line="360" w:lineRule="auto"/>
              <w:jc w:val="center"/>
              <w:rPr>
                <w:szCs w:val="21"/>
              </w:rPr>
            </w:pPr>
            <w:r>
              <w:rPr>
                <w:rFonts w:hint="eastAsia"/>
                <w:szCs w:val="21"/>
              </w:rPr>
              <w:t>4200</w:t>
            </w:r>
          </w:p>
        </w:tc>
      </w:tr>
      <w:tr w14:paraId="5C0F23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08" w:type="pct"/>
            <w:tcBorders>
              <w:left w:val="single" w:color="auto" w:sz="12" w:space="0"/>
              <w:bottom w:val="single" w:color="auto" w:sz="4" w:space="0"/>
            </w:tcBorders>
            <w:vAlign w:val="center"/>
          </w:tcPr>
          <w:p w14:paraId="4A746B0F">
            <w:pPr>
              <w:spacing w:line="360" w:lineRule="auto"/>
              <w:jc w:val="center"/>
              <w:rPr>
                <w:szCs w:val="21"/>
              </w:rPr>
            </w:pPr>
            <w:r>
              <w:rPr>
                <w:szCs w:val="21"/>
              </w:rPr>
              <w:t>300V＜</w:t>
            </w:r>
            <w:r>
              <w:rPr>
                <w:i/>
                <w:szCs w:val="21"/>
              </w:rPr>
              <w:t>U</w:t>
            </w:r>
            <w:r>
              <w:rPr>
                <w:rFonts w:ascii="宋体" w:hAnsi="宋体"/>
                <w:szCs w:val="21"/>
              </w:rPr>
              <w:t>≤</w:t>
            </w:r>
            <w:r>
              <w:rPr>
                <w:szCs w:val="21"/>
              </w:rPr>
              <w:t>600V</w:t>
            </w:r>
          </w:p>
        </w:tc>
        <w:tc>
          <w:tcPr>
            <w:tcW w:w="1959" w:type="pct"/>
            <w:tcBorders>
              <w:bottom w:val="single" w:color="auto" w:sz="4" w:space="0"/>
            </w:tcBorders>
            <w:vAlign w:val="center"/>
          </w:tcPr>
          <w:p w14:paraId="6F3C0B75">
            <w:pPr>
              <w:spacing w:line="360" w:lineRule="auto"/>
              <w:jc w:val="center"/>
              <w:rPr>
                <w:szCs w:val="21"/>
              </w:rPr>
            </w:pPr>
            <w:r>
              <w:rPr>
                <w:rFonts w:hint="eastAsia"/>
                <w:szCs w:val="21"/>
              </w:rPr>
              <w:t>2550</w:t>
            </w:r>
          </w:p>
        </w:tc>
        <w:tc>
          <w:tcPr>
            <w:tcW w:w="1833" w:type="pct"/>
            <w:tcBorders>
              <w:bottom w:val="single" w:color="auto" w:sz="4" w:space="0"/>
              <w:right w:val="single" w:color="auto" w:sz="12" w:space="0"/>
            </w:tcBorders>
            <w:vAlign w:val="center"/>
          </w:tcPr>
          <w:p w14:paraId="6D90836F">
            <w:pPr>
              <w:spacing w:line="360" w:lineRule="auto"/>
              <w:jc w:val="center"/>
              <w:rPr>
                <w:szCs w:val="21"/>
              </w:rPr>
            </w:pPr>
            <w:r>
              <w:rPr>
                <w:rFonts w:hint="eastAsia"/>
                <w:szCs w:val="21"/>
              </w:rPr>
              <w:t>5100</w:t>
            </w:r>
          </w:p>
        </w:tc>
      </w:tr>
      <w:tr w14:paraId="13A19C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08" w:type="pct"/>
            <w:tcBorders>
              <w:top w:val="single" w:color="auto" w:sz="4" w:space="0"/>
              <w:left w:val="single" w:color="auto" w:sz="12" w:space="0"/>
              <w:bottom w:val="single" w:color="auto" w:sz="4" w:space="0"/>
            </w:tcBorders>
            <w:vAlign w:val="center"/>
          </w:tcPr>
          <w:p w14:paraId="4BE2E709">
            <w:pPr>
              <w:spacing w:line="360" w:lineRule="auto"/>
              <w:jc w:val="center"/>
              <w:rPr>
                <w:szCs w:val="21"/>
              </w:rPr>
            </w:pPr>
            <w:r>
              <w:rPr>
                <w:szCs w:val="21"/>
              </w:rPr>
              <w:t>600V＜</w:t>
            </w:r>
            <w:r>
              <w:rPr>
                <w:i/>
                <w:szCs w:val="21"/>
              </w:rPr>
              <w:t>U</w:t>
            </w:r>
            <w:r>
              <w:rPr>
                <w:rFonts w:ascii="宋体" w:hAnsi="宋体"/>
                <w:szCs w:val="21"/>
              </w:rPr>
              <w:t>≤</w:t>
            </w:r>
            <w:r>
              <w:rPr>
                <w:szCs w:val="21"/>
              </w:rPr>
              <w:t>1000V</w:t>
            </w:r>
          </w:p>
        </w:tc>
        <w:tc>
          <w:tcPr>
            <w:tcW w:w="1959" w:type="pct"/>
            <w:tcBorders>
              <w:top w:val="single" w:color="auto" w:sz="4" w:space="0"/>
              <w:bottom w:val="single" w:color="auto" w:sz="4" w:space="0"/>
            </w:tcBorders>
            <w:vAlign w:val="center"/>
          </w:tcPr>
          <w:p w14:paraId="5AC6223A">
            <w:pPr>
              <w:spacing w:line="360" w:lineRule="auto"/>
              <w:jc w:val="center"/>
              <w:rPr>
                <w:szCs w:val="21"/>
              </w:rPr>
            </w:pPr>
            <w:r>
              <w:rPr>
                <w:rFonts w:hint="eastAsia"/>
                <w:szCs w:val="21"/>
              </w:rPr>
              <w:t>3100</w:t>
            </w:r>
          </w:p>
        </w:tc>
        <w:tc>
          <w:tcPr>
            <w:tcW w:w="1833" w:type="pct"/>
            <w:tcBorders>
              <w:top w:val="single" w:color="auto" w:sz="4" w:space="0"/>
              <w:bottom w:val="single" w:color="auto" w:sz="4" w:space="0"/>
              <w:right w:val="single" w:color="auto" w:sz="12" w:space="0"/>
            </w:tcBorders>
            <w:vAlign w:val="center"/>
          </w:tcPr>
          <w:p w14:paraId="7E1C02BA">
            <w:pPr>
              <w:spacing w:line="360" w:lineRule="auto"/>
              <w:jc w:val="center"/>
              <w:rPr>
                <w:szCs w:val="21"/>
              </w:rPr>
            </w:pPr>
            <w:r>
              <w:rPr>
                <w:rFonts w:hint="eastAsia"/>
                <w:szCs w:val="21"/>
              </w:rPr>
              <w:t>6200</w:t>
            </w:r>
          </w:p>
        </w:tc>
      </w:tr>
      <w:tr w14:paraId="67BF05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08" w:type="pct"/>
            <w:tcBorders>
              <w:top w:val="single" w:color="auto" w:sz="4" w:space="0"/>
              <w:left w:val="single" w:color="auto" w:sz="12" w:space="0"/>
              <w:bottom w:val="single" w:color="auto" w:sz="4" w:space="0"/>
            </w:tcBorders>
            <w:vAlign w:val="center"/>
          </w:tcPr>
          <w:p w14:paraId="766AC70B">
            <w:pPr>
              <w:spacing w:line="360" w:lineRule="auto"/>
              <w:jc w:val="center"/>
              <w:rPr>
                <w:szCs w:val="21"/>
              </w:rPr>
            </w:pPr>
            <w:r>
              <w:rPr>
                <w:rFonts w:hint="eastAsia"/>
                <w:szCs w:val="21"/>
              </w:rPr>
              <w:t>10</w:t>
            </w:r>
            <w:r>
              <w:rPr>
                <w:szCs w:val="21"/>
              </w:rPr>
              <w:t>00V＜</w:t>
            </w:r>
            <w:r>
              <w:rPr>
                <w:i/>
                <w:szCs w:val="21"/>
              </w:rPr>
              <w:t>U</w:t>
            </w:r>
            <w:r>
              <w:rPr>
                <w:rFonts w:ascii="宋体" w:hAnsi="宋体"/>
                <w:szCs w:val="21"/>
              </w:rPr>
              <w:t>≤</w:t>
            </w:r>
            <w:r>
              <w:rPr>
                <w:szCs w:val="21"/>
              </w:rPr>
              <w:t>1</w:t>
            </w:r>
            <w:r>
              <w:rPr>
                <w:rFonts w:hint="eastAsia"/>
                <w:szCs w:val="21"/>
              </w:rPr>
              <w:t>25</w:t>
            </w:r>
            <w:r>
              <w:rPr>
                <w:szCs w:val="21"/>
              </w:rPr>
              <w:t>0V</w:t>
            </w:r>
          </w:p>
        </w:tc>
        <w:tc>
          <w:tcPr>
            <w:tcW w:w="1959" w:type="pct"/>
            <w:tcBorders>
              <w:top w:val="single" w:color="auto" w:sz="4" w:space="0"/>
              <w:bottom w:val="single" w:color="auto" w:sz="4" w:space="0"/>
            </w:tcBorders>
            <w:vAlign w:val="center"/>
          </w:tcPr>
          <w:p w14:paraId="7962EB80">
            <w:pPr>
              <w:spacing w:line="360" w:lineRule="auto"/>
              <w:jc w:val="center"/>
              <w:rPr>
                <w:szCs w:val="21"/>
              </w:rPr>
            </w:pPr>
            <w:r>
              <w:rPr>
                <w:rFonts w:hint="eastAsia"/>
                <w:szCs w:val="21"/>
              </w:rPr>
              <w:t>3500</w:t>
            </w:r>
          </w:p>
        </w:tc>
        <w:tc>
          <w:tcPr>
            <w:tcW w:w="1833" w:type="pct"/>
            <w:tcBorders>
              <w:top w:val="single" w:color="auto" w:sz="4" w:space="0"/>
              <w:bottom w:val="single" w:color="auto" w:sz="4" w:space="0"/>
              <w:right w:val="single" w:color="auto" w:sz="12" w:space="0"/>
            </w:tcBorders>
            <w:vAlign w:val="center"/>
          </w:tcPr>
          <w:p w14:paraId="62F18D1A">
            <w:pPr>
              <w:spacing w:line="360" w:lineRule="auto"/>
              <w:jc w:val="center"/>
              <w:rPr>
                <w:szCs w:val="21"/>
              </w:rPr>
            </w:pPr>
            <w:r>
              <w:rPr>
                <w:rFonts w:hint="eastAsia"/>
                <w:szCs w:val="21"/>
              </w:rPr>
              <w:t>7000</w:t>
            </w:r>
          </w:p>
        </w:tc>
      </w:tr>
      <w:tr w14:paraId="1E79EE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08" w:type="pct"/>
            <w:tcBorders>
              <w:top w:val="single" w:color="auto" w:sz="4" w:space="0"/>
              <w:left w:val="single" w:color="auto" w:sz="12" w:space="0"/>
              <w:bottom w:val="single" w:color="auto" w:sz="12" w:space="0"/>
            </w:tcBorders>
            <w:vAlign w:val="center"/>
          </w:tcPr>
          <w:p w14:paraId="76E9FE3C">
            <w:pPr>
              <w:spacing w:line="360" w:lineRule="auto"/>
              <w:jc w:val="center"/>
              <w:rPr>
                <w:szCs w:val="21"/>
              </w:rPr>
            </w:pPr>
            <w:r>
              <w:rPr>
                <w:rFonts w:hint="eastAsia"/>
                <w:szCs w:val="21"/>
              </w:rPr>
              <w:t>1250</w:t>
            </w:r>
            <w:r>
              <w:rPr>
                <w:szCs w:val="21"/>
              </w:rPr>
              <w:t>V＜</w:t>
            </w:r>
            <w:r>
              <w:rPr>
                <w:i/>
                <w:szCs w:val="21"/>
              </w:rPr>
              <w:t>U</w:t>
            </w:r>
            <w:r>
              <w:rPr>
                <w:rFonts w:ascii="宋体" w:hAnsi="宋体"/>
                <w:szCs w:val="21"/>
              </w:rPr>
              <w:t>≤</w:t>
            </w:r>
            <w:r>
              <w:rPr>
                <w:rFonts w:hint="eastAsia"/>
                <w:szCs w:val="21"/>
              </w:rPr>
              <w:t>1500</w:t>
            </w:r>
            <w:r>
              <w:rPr>
                <w:szCs w:val="21"/>
              </w:rPr>
              <w:t>V</w:t>
            </w:r>
          </w:p>
        </w:tc>
        <w:tc>
          <w:tcPr>
            <w:tcW w:w="1959" w:type="pct"/>
            <w:tcBorders>
              <w:top w:val="single" w:color="auto" w:sz="4" w:space="0"/>
              <w:bottom w:val="single" w:color="auto" w:sz="12" w:space="0"/>
            </w:tcBorders>
            <w:vAlign w:val="center"/>
          </w:tcPr>
          <w:p w14:paraId="09CB443A">
            <w:pPr>
              <w:spacing w:line="360" w:lineRule="auto"/>
              <w:jc w:val="center"/>
              <w:rPr>
                <w:szCs w:val="21"/>
              </w:rPr>
            </w:pPr>
            <w:r>
              <w:rPr>
                <w:rFonts w:hint="eastAsia"/>
                <w:szCs w:val="21"/>
              </w:rPr>
              <w:t>3850</w:t>
            </w:r>
          </w:p>
        </w:tc>
        <w:tc>
          <w:tcPr>
            <w:tcW w:w="1833" w:type="pct"/>
            <w:tcBorders>
              <w:top w:val="single" w:color="auto" w:sz="4" w:space="0"/>
              <w:bottom w:val="single" w:color="auto" w:sz="12" w:space="0"/>
              <w:right w:val="single" w:color="auto" w:sz="12" w:space="0"/>
            </w:tcBorders>
            <w:vAlign w:val="center"/>
          </w:tcPr>
          <w:p w14:paraId="5605256F">
            <w:pPr>
              <w:spacing w:line="360" w:lineRule="auto"/>
              <w:jc w:val="center"/>
              <w:rPr>
                <w:szCs w:val="21"/>
              </w:rPr>
            </w:pPr>
            <w:r>
              <w:rPr>
                <w:rFonts w:hint="eastAsia"/>
                <w:szCs w:val="21"/>
              </w:rPr>
              <w:t>7700</w:t>
            </w:r>
          </w:p>
        </w:tc>
      </w:tr>
    </w:tbl>
    <w:p w14:paraId="18E70A02">
      <w:pPr>
        <w:pStyle w:val="2"/>
      </w:pPr>
      <w:bookmarkStart w:id="50" w:name="_Toc209090347"/>
      <w:r>
        <w:rPr>
          <w:rFonts w:hint="eastAsia"/>
        </w:rPr>
        <w:t>7  计量器具控制</w:t>
      </w:r>
      <w:bookmarkEnd w:id="50"/>
    </w:p>
    <w:p w14:paraId="7277BB9A">
      <w:pPr>
        <w:pStyle w:val="3"/>
        <w:rPr>
          <w:rFonts w:ascii="Times New Roman" w:hAnsi="Times New Roman"/>
        </w:rPr>
      </w:pPr>
      <w:bookmarkStart w:id="51" w:name="_Toc209090348"/>
      <w:r>
        <w:rPr>
          <w:rFonts w:ascii="Times New Roman" w:hAnsi="Times New Roman"/>
        </w:rPr>
        <w:t>7.1</w:t>
      </w:r>
      <w:r>
        <w:rPr>
          <w:rFonts w:hint="eastAsia" w:ascii="Times New Roman" w:hAnsi="Times New Roman"/>
        </w:rPr>
        <w:t xml:space="preserve">  </w:t>
      </w:r>
      <w:r>
        <w:rPr>
          <w:rFonts w:ascii="Times New Roman" w:hAnsi="Times New Roman"/>
        </w:rPr>
        <w:t>首次检定、后续检定</w:t>
      </w:r>
      <w:r>
        <w:rPr>
          <w:rFonts w:hint="eastAsia" w:ascii="Times New Roman" w:hAnsi="Times New Roman"/>
        </w:rPr>
        <w:t>和使用中检查</w:t>
      </w:r>
      <w:bookmarkEnd w:id="51"/>
    </w:p>
    <w:p w14:paraId="7664EAB8">
      <w:pPr>
        <w:snapToGrid w:val="0"/>
        <w:spacing w:line="360" w:lineRule="auto"/>
        <w:ind w:firstLine="480" w:firstLineChars="200"/>
        <w:rPr>
          <w:sz w:val="24"/>
          <w:szCs w:val="24"/>
        </w:rPr>
      </w:pPr>
      <w:r>
        <w:rPr>
          <w:sz w:val="24"/>
          <w:szCs w:val="24"/>
        </w:rPr>
        <w:t>首次检定是对未被检定过的电能表进行的检定；后续检定是在首次检定后的任何一种检定，修理后的电能表须按首次检定进行。</w:t>
      </w:r>
      <w:r>
        <w:rPr>
          <w:rFonts w:hint="eastAsia"/>
          <w:sz w:val="24"/>
          <w:szCs w:val="24"/>
        </w:rPr>
        <w:t>使用中检查是为了检查计量器具的检定标记或检定证书是否有效，保护标记是否损坏，检定后的计量器具状态是否受到明显变动，及其误差是否超过使用中的最大允许误差。</w:t>
      </w:r>
    </w:p>
    <w:p w14:paraId="188D84B7">
      <w:pPr>
        <w:pStyle w:val="3"/>
        <w:rPr>
          <w:rFonts w:ascii="Times New Roman" w:hAnsi="Times New Roman"/>
        </w:rPr>
      </w:pPr>
      <w:bookmarkStart w:id="52" w:name="_Toc209090349"/>
      <w:r>
        <w:rPr>
          <w:rFonts w:ascii="Times New Roman" w:hAnsi="Times New Roman"/>
        </w:rPr>
        <w:t>7.2</w:t>
      </w:r>
      <w:r>
        <w:rPr>
          <w:rFonts w:hint="eastAsia" w:ascii="Times New Roman" w:hAnsi="Times New Roman"/>
        </w:rPr>
        <w:t xml:space="preserve">  </w:t>
      </w:r>
      <w:r>
        <w:rPr>
          <w:rFonts w:ascii="Times New Roman" w:hAnsi="Times New Roman"/>
        </w:rPr>
        <w:t>检定条件</w:t>
      </w:r>
      <w:bookmarkEnd w:id="52"/>
      <w:r>
        <w:rPr>
          <w:rFonts w:ascii="Times New Roman" w:hAnsi="Times New Roman"/>
        </w:rPr>
        <w:t xml:space="preserve"> </w:t>
      </w:r>
    </w:p>
    <w:p w14:paraId="08291B4E">
      <w:pPr>
        <w:pStyle w:val="4"/>
        <w:spacing w:before="0" w:after="0" w:line="415" w:lineRule="auto"/>
        <w:rPr>
          <w:rFonts w:hint="eastAsia" w:ascii="宋体" w:hAnsi="宋体"/>
          <w:b w:val="0"/>
          <w:sz w:val="24"/>
          <w:szCs w:val="24"/>
        </w:rPr>
      </w:pPr>
      <w:bookmarkStart w:id="53" w:name="_Toc207469931"/>
      <w:bookmarkStart w:id="54" w:name="_Toc202168342"/>
      <w:bookmarkStart w:id="55" w:name="_Toc209090350"/>
      <w:r>
        <w:rPr>
          <w:rFonts w:eastAsia="仿宋_GB2312"/>
          <w:b w:val="0"/>
          <w:sz w:val="24"/>
          <w:szCs w:val="24"/>
        </w:rPr>
        <w:t xml:space="preserve">7.2.1 </w:t>
      </w:r>
      <w:r>
        <w:rPr>
          <w:rFonts w:hint="eastAsia" w:ascii="宋体" w:hAnsi="宋体"/>
          <w:b w:val="0"/>
          <w:sz w:val="24"/>
          <w:szCs w:val="24"/>
        </w:rPr>
        <w:t xml:space="preserve"> </w:t>
      </w:r>
      <w:r>
        <w:rPr>
          <w:rFonts w:ascii="宋体" w:hAnsi="宋体"/>
          <w:b w:val="0"/>
          <w:sz w:val="24"/>
          <w:szCs w:val="24"/>
        </w:rPr>
        <w:t>确定计量性能时应满足的参比条件及允许偏差</w:t>
      </w:r>
      <w:bookmarkEnd w:id="53"/>
      <w:bookmarkEnd w:id="54"/>
      <w:bookmarkEnd w:id="55"/>
    </w:p>
    <w:p w14:paraId="68230324">
      <w:pPr>
        <w:pStyle w:val="78"/>
        <w:spacing w:line="360" w:lineRule="auto"/>
        <w:ind w:firstLine="480"/>
        <w:rPr>
          <w:sz w:val="24"/>
          <w:szCs w:val="24"/>
        </w:rPr>
      </w:pPr>
      <w:r>
        <w:rPr>
          <w:rFonts w:hint="eastAsia"/>
          <w:sz w:val="24"/>
          <w:szCs w:val="24"/>
        </w:rPr>
        <w:t>试验应满足以下试验条件：</w:t>
      </w:r>
    </w:p>
    <w:p w14:paraId="68FB6BC8">
      <w:pPr>
        <w:pStyle w:val="93"/>
        <w:numPr>
          <w:ilvl w:val="0"/>
          <w:numId w:val="0"/>
        </w:numPr>
        <w:spacing w:line="360" w:lineRule="auto"/>
        <w:ind w:left="425"/>
        <w:rPr>
          <w:rStyle w:val="81"/>
          <w:rFonts w:ascii="Times New Roman"/>
          <w:sz w:val="24"/>
          <w:szCs w:val="24"/>
        </w:rPr>
      </w:pPr>
      <w:r>
        <w:rPr>
          <w:rStyle w:val="81"/>
          <w:rFonts w:ascii="Times New Roman"/>
          <w:sz w:val="24"/>
          <w:szCs w:val="24"/>
        </w:rPr>
        <w:t>a）所有拟接地的部件应接地；</w:t>
      </w:r>
    </w:p>
    <w:p w14:paraId="0DB0569D">
      <w:pPr>
        <w:pStyle w:val="93"/>
        <w:numPr>
          <w:ilvl w:val="0"/>
          <w:numId w:val="0"/>
        </w:numPr>
        <w:spacing w:line="360" w:lineRule="auto"/>
        <w:ind w:left="425"/>
        <w:rPr>
          <w:rStyle w:val="81"/>
          <w:rFonts w:ascii="Times New Roman"/>
          <w:sz w:val="24"/>
          <w:szCs w:val="24"/>
        </w:rPr>
      </w:pPr>
      <w:r>
        <w:rPr>
          <w:rStyle w:val="81"/>
          <w:rFonts w:ascii="Times New Roman"/>
          <w:sz w:val="24"/>
          <w:szCs w:val="24"/>
        </w:rPr>
        <w:t>b）在进行任何试验前，仪表电路应通电一段时间，以达到热稳定性；预热时间应符合制造商的规定。在试验过程中，仪表在每个电流水平下应在制造商规定的时间内达到热稳定性，但该时间不应超过 5 min；</w:t>
      </w:r>
    </w:p>
    <w:p w14:paraId="5BF4A88D">
      <w:pPr>
        <w:pStyle w:val="93"/>
        <w:numPr>
          <w:ilvl w:val="0"/>
          <w:numId w:val="0"/>
        </w:numPr>
        <w:spacing w:line="360" w:lineRule="auto"/>
        <w:ind w:left="425"/>
        <w:rPr>
          <w:rStyle w:val="81"/>
          <w:rFonts w:ascii="Times New Roman"/>
          <w:sz w:val="24"/>
          <w:szCs w:val="24"/>
        </w:rPr>
      </w:pPr>
      <w:r>
        <w:rPr>
          <w:rStyle w:val="81"/>
          <w:rFonts w:hint="eastAsia" w:ascii="Times New Roman"/>
          <w:sz w:val="24"/>
          <w:szCs w:val="24"/>
        </w:rPr>
        <w:t>c</w:t>
      </w:r>
      <w:r>
        <w:rPr>
          <w:rStyle w:val="81"/>
          <w:rFonts w:ascii="Times New Roman"/>
          <w:sz w:val="24"/>
          <w:szCs w:val="24"/>
        </w:rPr>
        <w:t>）</w:t>
      </w:r>
      <w:r>
        <w:rPr>
          <w:rStyle w:val="81"/>
          <w:rFonts w:hint="eastAsia" w:ascii="Times New Roman"/>
          <w:sz w:val="24"/>
          <w:szCs w:val="24"/>
        </w:rPr>
        <w:t>应根据厂家提供的安装要求接入直流电能表检定装置进行检定。</w:t>
      </w:r>
    </w:p>
    <w:p w14:paraId="26E00855">
      <w:pPr>
        <w:pStyle w:val="93"/>
        <w:numPr>
          <w:ilvl w:val="0"/>
          <w:numId w:val="0"/>
        </w:numPr>
        <w:spacing w:line="360" w:lineRule="auto"/>
        <w:ind w:left="425"/>
        <w:rPr>
          <w:rStyle w:val="81"/>
          <w:rFonts w:ascii="Times New Roman"/>
          <w:sz w:val="24"/>
          <w:szCs w:val="24"/>
        </w:rPr>
      </w:pPr>
      <w:r>
        <w:rPr>
          <w:rStyle w:val="81"/>
          <w:rFonts w:hint="eastAsia" w:ascii="Times New Roman"/>
          <w:sz w:val="24"/>
          <w:szCs w:val="24"/>
        </w:rPr>
        <w:t>d</w:t>
      </w:r>
      <w:r>
        <w:rPr>
          <w:rStyle w:val="81"/>
          <w:rFonts w:ascii="Times New Roman"/>
          <w:sz w:val="24"/>
          <w:szCs w:val="24"/>
        </w:rPr>
        <w:t>）参比条件见表6。</w:t>
      </w:r>
    </w:p>
    <w:p w14:paraId="7BAC60D2">
      <w:pPr>
        <w:pStyle w:val="51"/>
        <w:numPr>
          <w:ilvl w:val="0"/>
          <w:numId w:val="0"/>
        </w:numPr>
        <w:tabs>
          <w:tab w:val="left" w:pos="360"/>
        </w:tabs>
        <w:spacing w:before="156" w:after="156" w:line="278" w:lineRule="auto"/>
        <w:rPr>
          <w:rFonts w:ascii="Times New Roman"/>
        </w:rPr>
      </w:pPr>
      <w:r>
        <w:rPr>
          <w:rFonts w:hint="eastAsia" w:hAnsi="宋体"/>
          <w:b/>
        </w:rPr>
        <w:t>表</w:t>
      </w:r>
      <w:r>
        <w:rPr>
          <w:rFonts w:hint="eastAsia"/>
          <w:b/>
        </w:rPr>
        <w:t>6</w:t>
      </w:r>
      <w:r>
        <w:rPr>
          <w:rFonts w:hint="eastAsia" w:hAnsi="宋体"/>
          <w:b/>
        </w:rPr>
        <w:t xml:space="preserve">  </w:t>
      </w:r>
      <w:r>
        <w:rPr>
          <w:rFonts w:hint="eastAsia"/>
          <w:bCs/>
        </w:rPr>
        <w:t>参比条件</w:t>
      </w:r>
    </w:p>
    <w:tbl>
      <w:tblPr>
        <w:tblStyle w:val="33"/>
        <w:tblW w:w="9364" w:type="dxa"/>
        <w:jc w:val="center"/>
        <w:tblLayout w:type="fixed"/>
        <w:tblCellMar>
          <w:top w:w="0" w:type="dxa"/>
          <w:left w:w="0" w:type="dxa"/>
          <w:bottom w:w="0" w:type="dxa"/>
          <w:right w:w="0" w:type="dxa"/>
        </w:tblCellMar>
      </w:tblPr>
      <w:tblGrid>
        <w:gridCol w:w="3097"/>
        <w:gridCol w:w="3128"/>
        <w:gridCol w:w="3104"/>
        <w:gridCol w:w="35"/>
      </w:tblGrid>
      <w:tr w14:paraId="492DB920">
        <w:tblPrEx>
          <w:tblCellMar>
            <w:top w:w="0" w:type="dxa"/>
            <w:left w:w="0" w:type="dxa"/>
            <w:bottom w:w="0" w:type="dxa"/>
            <w:right w:w="0" w:type="dxa"/>
          </w:tblCellMar>
        </w:tblPrEx>
        <w:trPr>
          <w:trHeight w:val="340" w:hRule="atLeast"/>
          <w:jc w:val="center"/>
        </w:trPr>
        <w:tc>
          <w:tcPr>
            <w:tcW w:w="3097" w:type="dxa"/>
            <w:tcBorders>
              <w:top w:val="single" w:color="auto" w:sz="8" w:space="0"/>
              <w:left w:val="single" w:color="auto" w:sz="8" w:space="0"/>
              <w:bottom w:val="single" w:color="auto" w:sz="4" w:space="0"/>
              <w:right w:val="single" w:color="auto" w:sz="4" w:space="0"/>
            </w:tcBorders>
            <w:tcMar>
              <w:top w:w="97" w:type="dxa"/>
              <w:left w:w="0" w:type="dxa"/>
              <w:bottom w:w="0" w:type="dxa"/>
              <w:right w:w="27" w:type="dxa"/>
            </w:tcMar>
            <w:vAlign w:val="center"/>
          </w:tcPr>
          <w:p w14:paraId="1F0B499F">
            <w:pPr>
              <w:pStyle w:val="50"/>
              <w:adjustRightInd w:val="0"/>
              <w:snapToGrid w:val="0"/>
              <w:ind w:firstLine="0" w:firstLineChars="0"/>
              <w:jc w:val="center"/>
              <w:rPr>
                <w:rFonts w:ascii="Times New Roman"/>
                <w:sz w:val="18"/>
                <w:szCs w:val="18"/>
              </w:rPr>
            </w:pPr>
            <w:r>
              <w:rPr>
                <w:rFonts w:ascii="Times New Roman"/>
                <w:sz w:val="18"/>
                <w:szCs w:val="18"/>
              </w:rPr>
              <w:t>影响量</w:t>
            </w:r>
          </w:p>
        </w:tc>
        <w:tc>
          <w:tcPr>
            <w:tcW w:w="3128" w:type="dxa"/>
            <w:tcBorders>
              <w:top w:val="single" w:color="auto" w:sz="8" w:space="0"/>
              <w:left w:val="single" w:color="auto" w:sz="4" w:space="0"/>
              <w:bottom w:val="single" w:color="auto" w:sz="4" w:space="0"/>
              <w:right w:val="single" w:color="auto" w:sz="4" w:space="0"/>
            </w:tcBorders>
            <w:tcMar>
              <w:top w:w="97" w:type="dxa"/>
              <w:left w:w="0" w:type="dxa"/>
              <w:bottom w:w="0" w:type="dxa"/>
              <w:right w:w="27" w:type="dxa"/>
            </w:tcMar>
            <w:vAlign w:val="center"/>
          </w:tcPr>
          <w:p w14:paraId="0F14153B">
            <w:pPr>
              <w:pStyle w:val="50"/>
              <w:adjustRightInd w:val="0"/>
              <w:snapToGrid w:val="0"/>
              <w:ind w:firstLine="0" w:firstLineChars="0"/>
              <w:jc w:val="center"/>
              <w:rPr>
                <w:rFonts w:ascii="Times New Roman"/>
                <w:sz w:val="18"/>
                <w:szCs w:val="18"/>
              </w:rPr>
            </w:pPr>
            <w:r>
              <w:rPr>
                <w:rFonts w:ascii="Times New Roman"/>
                <w:sz w:val="18"/>
                <w:szCs w:val="18"/>
              </w:rPr>
              <w:t>参考值</w:t>
            </w:r>
          </w:p>
        </w:tc>
        <w:tc>
          <w:tcPr>
            <w:tcW w:w="3104" w:type="dxa"/>
            <w:tcBorders>
              <w:top w:val="single" w:color="auto" w:sz="8" w:space="0"/>
              <w:left w:val="single" w:color="auto" w:sz="4" w:space="0"/>
              <w:bottom w:val="single" w:color="auto" w:sz="4" w:space="0"/>
            </w:tcBorders>
            <w:tcMar>
              <w:top w:w="97" w:type="dxa"/>
              <w:left w:w="0" w:type="dxa"/>
              <w:bottom w:w="0" w:type="dxa"/>
              <w:right w:w="27" w:type="dxa"/>
            </w:tcMar>
            <w:vAlign w:val="center"/>
          </w:tcPr>
          <w:p w14:paraId="107F4251">
            <w:pPr>
              <w:pStyle w:val="50"/>
              <w:adjustRightInd w:val="0"/>
              <w:snapToGrid w:val="0"/>
              <w:ind w:firstLine="0" w:firstLineChars="0"/>
              <w:jc w:val="center"/>
              <w:rPr>
                <w:rFonts w:ascii="Times New Roman"/>
                <w:sz w:val="18"/>
                <w:szCs w:val="18"/>
              </w:rPr>
            </w:pPr>
            <w:r>
              <w:rPr>
                <w:rFonts w:ascii="Times New Roman"/>
                <w:sz w:val="18"/>
                <w:szCs w:val="18"/>
              </w:rPr>
              <w:t>允许误差</w:t>
            </w:r>
          </w:p>
        </w:tc>
        <w:tc>
          <w:tcPr>
            <w:tcW w:w="35" w:type="dxa"/>
            <w:tcBorders>
              <w:top w:val="single" w:color="auto" w:sz="8" w:space="0"/>
              <w:left w:val="nil"/>
              <w:bottom w:val="nil"/>
              <w:right w:val="single" w:color="auto" w:sz="8" w:space="0"/>
            </w:tcBorders>
            <w:vAlign w:val="center"/>
          </w:tcPr>
          <w:p w14:paraId="7D1FD4A5">
            <w:pPr>
              <w:spacing w:line="360" w:lineRule="exact"/>
              <w:jc w:val="left"/>
              <w:rPr>
                <w:sz w:val="18"/>
                <w:szCs w:val="18"/>
              </w:rPr>
            </w:pPr>
          </w:p>
        </w:tc>
      </w:tr>
      <w:tr w14:paraId="40477A4F">
        <w:tblPrEx>
          <w:tblCellMar>
            <w:top w:w="0" w:type="dxa"/>
            <w:left w:w="0" w:type="dxa"/>
            <w:bottom w:w="0" w:type="dxa"/>
            <w:right w:w="0" w:type="dxa"/>
          </w:tblCellMar>
        </w:tblPrEx>
        <w:trPr>
          <w:trHeight w:val="209" w:hRule="atLeast"/>
          <w:jc w:val="center"/>
        </w:trPr>
        <w:tc>
          <w:tcPr>
            <w:tcW w:w="3097" w:type="dxa"/>
            <w:tcBorders>
              <w:top w:val="single" w:color="auto" w:sz="4" w:space="0"/>
              <w:left w:val="single" w:color="auto" w:sz="8" w:space="0"/>
              <w:bottom w:val="single" w:color="auto" w:sz="4" w:space="0"/>
              <w:right w:val="single" w:color="auto" w:sz="4" w:space="0"/>
            </w:tcBorders>
            <w:tcMar>
              <w:top w:w="97" w:type="dxa"/>
              <w:left w:w="0" w:type="dxa"/>
              <w:bottom w:w="0" w:type="dxa"/>
              <w:right w:w="27" w:type="dxa"/>
            </w:tcMar>
            <w:vAlign w:val="center"/>
          </w:tcPr>
          <w:p w14:paraId="7A23CBC6">
            <w:pPr>
              <w:pStyle w:val="50"/>
              <w:adjustRightInd w:val="0"/>
              <w:snapToGrid w:val="0"/>
              <w:ind w:firstLine="0" w:firstLineChars="0"/>
              <w:jc w:val="center"/>
              <w:rPr>
                <w:rFonts w:ascii="Times New Roman"/>
                <w:sz w:val="18"/>
                <w:szCs w:val="18"/>
              </w:rPr>
            </w:pPr>
            <w:r>
              <w:rPr>
                <w:rFonts w:ascii="Times New Roman"/>
                <w:sz w:val="18"/>
                <w:szCs w:val="18"/>
              </w:rPr>
              <w:t>环境温度</w:t>
            </w:r>
          </w:p>
        </w:tc>
        <w:tc>
          <w:tcPr>
            <w:tcW w:w="3128" w:type="dxa"/>
            <w:tcBorders>
              <w:top w:val="single" w:color="auto" w:sz="4" w:space="0"/>
              <w:left w:val="single" w:color="auto" w:sz="4" w:space="0"/>
              <w:bottom w:val="single" w:color="auto" w:sz="4" w:space="0"/>
              <w:right w:val="single" w:color="auto" w:sz="4" w:space="0"/>
            </w:tcBorders>
            <w:tcMar>
              <w:top w:w="97" w:type="dxa"/>
              <w:left w:w="0" w:type="dxa"/>
              <w:bottom w:w="0" w:type="dxa"/>
              <w:right w:w="27" w:type="dxa"/>
            </w:tcMar>
            <w:vAlign w:val="center"/>
          </w:tcPr>
          <w:p w14:paraId="4A4D7240">
            <w:pPr>
              <w:pStyle w:val="50"/>
              <w:adjustRightInd w:val="0"/>
              <w:snapToGrid w:val="0"/>
              <w:ind w:firstLine="0" w:firstLineChars="0"/>
              <w:jc w:val="center"/>
              <w:rPr>
                <w:rFonts w:ascii="Times New Roman"/>
                <w:sz w:val="18"/>
                <w:szCs w:val="18"/>
              </w:rPr>
            </w:pPr>
            <w:r>
              <w:rPr>
                <w:rFonts w:ascii="Times New Roman"/>
                <w:sz w:val="18"/>
                <w:szCs w:val="18"/>
              </w:rPr>
              <w:t>参比温度或不标注的为 23 ℃</w:t>
            </w:r>
            <w:r>
              <w:rPr>
                <w:rFonts w:hint="eastAsia" w:ascii="Times New Roman"/>
                <w:sz w:val="18"/>
                <w:szCs w:val="18"/>
              </w:rPr>
              <w:t xml:space="preserve"> </w:t>
            </w:r>
            <w:r>
              <w:rPr>
                <w:rFonts w:ascii="Times New Roman"/>
                <w:sz w:val="18"/>
                <w:szCs w:val="18"/>
                <w:vertAlign w:val="superscript"/>
              </w:rPr>
              <w:t>a</w:t>
            </w:r>
          </w:p>
        </w:tc>
        <w:tc>
          <w:tcPr>
            <w:tcW w:w="3104" w:type="dxa"/>
            <w:tcBorders>
              <w:top w:val="single" w:color="auto" w:sz="4" w:space="0"/>
              <w:left w:val="single" w:color="auto" w:sz="4" w:space="0"/>
              <w:bottom w:val="single" w:color="auto" w:sz="4" w:space="0"/>
            </w:tcBorders>
            <w:tcMar>
              <w:top w:w="97" w:type="dxa"/>
              <w:left w:w="0" w:type="dxa"/>
              <w:bottom w:w="0" w:type="dxa"/>
              <w:right w:w="27" w:type="dxa"/>
            </w:tcMar>
            <w:vAlign w:val="center"/>
          </w:tcPr>
          <w:p w14:paraId="1824DCE4">
            <w:pPr>
              <w:pStyle w:val="50"/>
              <w:adjustRightInd w:val="0"/>
              <w:snapToGrid w:val="0"/>
              <w:ind w:firstLine="0" w:firstLineChars="0"/>
              <w:jc w:val="center"/>
              <w:rPr>
                <w:rFonts w:ascii="Times New Roman"/>
                <w:sz w:val="18"/>
                <w:szCs w:val="18"/>
              </w:rPr>
            </w:pPr>
            <w:r>
              <w:rPr>
                <w:rFonts w:ascii="Times New Roman"/>
                <w:sz w:val="18"/>
                <w:szCs w:val="18"/>
              </w:rPr>
              <w:t>±2℃</w:t>
            </w:r>
          </w:p>
        </w:tc>
        <w:tc>
          <w:tcPr>
            <w:tcW w:w="35" w:type="dxa"/>
            <w:tcBorders>
              <w:top w:val="nil"/>
              <w:left w:val="nil"/>
              <w:bottom w:val="nil"/>
              <w:right w:val="single" w:color="auto" w:sz="8" w:space="0"/>
            </w:tcBorders>
            <w:vAlign w:val="center"/>
          </w:tcPr>
          <w:p w14:paraId="593ACFEC">
            <w:pPr>
              <w:spacing w:line="360" w:lineRule="exact"/>
              <w:jc w:val="left"/>
              <w:rPr>
                <w:sz w:val="18"/>
                <w:szCs w:val="18"/>
              </w:rPr>
            </w:pPr>
          </w:p>
        </w:tc>
      </w:tr>
      <w:tr w14:paraId="788A7572">
        <w:tblPrEx>
          <w:tblCellMar>
            <w:top w:w="0" w:type="dxa"/>
            <w:left w:w="0" w:type="dxa"/>
            <w:bottom w:w="0" w:type="dxa"/>
            <w:right w:w="0" w:type="dxa"/>
          </w:tblCellMar>
        </w:tblPrEx>
        <w:trPr>
          <w:trHeight w:val="340" w:hRule="atLeast"/>
          <w:jc w:val="center"/>
        </w:trPr>
        <w:tc>
          <w:tcPr>
            <w:tcW w:w="3097" w:type="dxa"/>
            <w:tcBorders>
              <w:top w:val="single" w:color="auto" w:sz="4" w:space="0"/>
              <w:left w:val="single" w:color="auto" w:sz="8" w:space="0"/>
              <w:bottom w:val="single" w:color="auto" w:sz="4" w:space="0"/>
              <w:right w:val="single" w:color="auto" w:sz="4" w:space="0"/>
            </w:tcBorders>
            <w:tcMar>
              <w:top w:w="97" w:type="dxa"/>
              <w:left w:w="0" w:type="dxa"/>
              <w:bottom w:w="0" w:type="dxa"/>
              <w:right w:w="27" w:type="dxa"/>
            </w:tcMar>
            <w:vAlign w:val="center"/>
          </w:tcPr>
          <w:p w14:paraId="112BFFEB">
            <w:pPr>
              <w:pStyle w:val="50"/>
              <w:adjustRightInd w:val="0"/>
              <w:snapToGrid w:val="0"/>
              <w:ind w:firstLine="0" w:firstLineChars="0"/>
              <w:jc w:val="center"/>
              <w:rPr>
                <w:rFonts w:ascii="Times New Roman"/>
                <w:sz w:val="18"/>
                <w:szCs w:val="18"/>
              </w:rPr>
            </w:pPr>
            <w:r>
              <w:rPr>
                <w:rFonts w:ascii="Times New Roman"/>
                <w:sz w:val="18"/>
                <w:szCs w:val="18"/>
              </w:rPr>
              <w:t>环境相对湿度</w:t>
            </w:r>
            <w:r>
              <w:rPr>
                <w:rFonts w:ascii="Times New Roman"/>
                <w:sz w:val="18"/>
                <w:szCs w:val="18"/>
                <w:vertAlign w:val="superscript"/>
              </w:rPr>
              <w:t>b</w:t>
            </w:r>
          </w:p>
        </w:tc>
        <w:tc>
          <w:tcPr>
            <w:tcW w:w="3128" w:type="dxa"/>
            <w:tcBorders>
              <w:top w:val="single" w:color="auto" w:sz="4" w:space="0"/>
              <w:left w:val="single" w:color="auto" w:sz="4" w:space="0"/>
              <w:bottom w:val="single" w:color="auto" w:sz="4" w:space="0"/>
              <w:right w:val="single" w:color="auto" w:sz="4" w:space="0"/>
            </w:tcBorders>
            <w:tcMar>
              <w:top w:w="97" w:type="dxa"/>
              <w:left w:w="0" w:type="dxa"/>
              <w:bottom w:w="0" w:type="dxa"/>
              <w:right w:w="27" w:type="dxa"/>
            </w:tcMar>
            <w:vAlign w:val="center"/>
          </w:tcPr>
          <w:p w14:paraId="60059E54">
            <w:pPr>
              <w:pStyle w:val="50"/>
              <w:adjustRightInd w:val="0"/>
              <w:snapToGrid w:val="0"/>
              <w:ind w:firstLine="0" w:firstLineChars="0"/>
              <w:jc w:val="center"/>
              <w:rPr>
                <w:rFonts w:ascii="Times New Roman"/>
                <w:sz w:val="18"/>
                <w:szCs w:val="18"/>
              </w:rPr>
            </w:pPr>
            <w:r>
              <w:rPr>
                <w:rFonts w:ascii="Times New Roman"/>
                <w:sz w:val="18"/>
                <w:szCs w:val="18"/>
              </w:rPr>
              <w:t>45%～75%</w:t>
            </w:r>
          </w:p>
        </w:tc>
        <w:tc>
          <w:tcPr>
            <w:tcW w:w="3104" w:type="dxa"/>
            <w:tcBorders>
              <w:top w:val="single" w:color="auto" w:sz="4" w:space="0"/>
              <w:left w:val="single" w:color="auto" w:sz="4" w:space="0"/>
              <w:bottom w:val="single" w:color="auto" w:sz="4" w:space="0"/>
            </w:tcBorders>
            <w:tcMar>
              <w:top w:w="97" w:type="dxa"/>
              <w:left w:w="0" w:type="dxa"/>
              <w:bottom w:w="0" w:type="dxa"/>
              <w:right w:w="27" w:type="dxa"/>
            </w:tcMar>
            <w:vAlign w:val="center"/>
          </w:tcPr>
          <w:p w14:paraId="5297F30D">
            <w:pPr>
              <w:pStyle w:val="50"/>
              <w:adjustRightInd w:val="0"/>
              <w:snapToGrid w:val="0"/>
              <w:ind w:firstLine="0" w:firstLineChars="0"/>
              <w:jc w:val="center"/>
              <w:rPr>
                <w:rFonts w:ascii="Times New Roman"/>
                <w:sz w:val="18"/>
                <w:szCs w:val="18"/>
              </w:rPr>
            </w:pPr>
            <w:r>
              <w:rPr>
                <w:rFonts w:ascii="Times New Roman"/>
                <w:sz w:val="18"/>
                <w:szCs w:val="18"/>
              </w:rPr>
              <w:t xml:space="preserve">– </w:t>
            </w:r>
          </w:p>
        </w:tc>
        <w:tc>
          <w:tcPr>
            <w:tcW w:w="35" w:type="dxa"/>
            <w:tcBorders>
              <w:top w:val="nil"/>
              <w:left w:val="nil"/>
              <w:bottom w:val="nil"/>
              <w:right w:val="single" w:color="auto" w:sz="8" w:space="0"/>
            </w:tcBorders>
            <w:vAlign w:val="center"/>
          </w:tcPr>
          <w:p w14:paraId="2A542133">
            <w:pPr>
              <w:spacing w:line="360" w:lineRule="exact"/>
              <w:jc w:val="left"/>
              <w:rPr>
                <w:sz w:val="18"/>
                <w:szCs w:val="18"/>
              </w:rPr>
            </w:pPr>
          </w:p>
        </w:tc>
      </w:tr>
      <w:tr w14:paraId="03F70F8A">
        <w:tblPrEx>
          <w:tblCellMar>
            <w:top w:w="0" w:type="dxa"/>
            <w:left w:w="0" w:type="dxa"/>
            <w:bottom w:w="0" w:type="dxa"/>
            <w:right w:w="0" w:type="dxa"/>
          </w:tblCellMar>
        </w:tblPrEx>
        <w:trPr>
          <w:trHeight w:val="340" w:hRule="atLeast"/>
          <w:jc w:val="center"/>
        </w:trPr>
        <w:tc>
          <w:tcPr>
            <w:tcW w:w="3097" w:type="dxa"/>
            <w:tcBorders>
              <w:top w:val="single" w:color="auto" w:sz="4" w:space="0"/>
              <w:left w:val="single" w:color="auto" w:sz="8" w:space="0"/>
              <w:bottom w:val="single" w:color="auto" w:sz="4" w:space="0"/>
              <w:right w:val="single" w:color="auto" w:sz="4" w:space="0"/>
            </w:tcBorders>
            <w:tcMar>
              <w:top w:w="97" w:type="dxa"/>
              <w:left w:w="0" w:type="dxa"/>
              <w:bottom w:w="0" w:type="dxa"/>
              <w:right w:w="27" w:type="dxa"/>
            </w:tcMar>
            <w:vAlign w:val="center"/>
          </w:tcPr>
          <w:p w14:paraId="110B2265">
            <w:pPr>
              <w:pStyle w:val="50"/>
              <w:adjustRightInd w:val="0"/>
              <w:snapToGrid w:val="0"/>
              <w:ind w:firstLine="0" w:firstLineChars="0"/>
              <w:jc w:val="center"/>
              <w:rPr>
                <w:rFonts w:ascii="Times New Roman"/>
                <w:sz w:val="18"/>
                <w:szCs w:val="18"/>
              </w:rPr>
            </w:pPr>
            <w:r>
              <w:rPr>
                <w:rFonts w:ascii="Times New Roman"/>
                <w:sz w:val="18"/>
                <w:szCs w:val="18"/>
              </w:rPr>
              <w:t>气压</w:t>
            </w:r>
          </w:p>
        </w:tc>
        <w:tc>
          <w:tcPr>
            <w:tcW w:w="3128" w:type="dxa"/>
            <w:tcBorders>
              <w:top w:val="single" w:color="auto" w:sz="4" w:space="0"/>
              <w:left w:val="single" w:color="auto" w:sz="4" w:space="0"/>
              <w:bottom w:val="single" w:color="auto" w:sz="4" w:space="0"/>
              <w:right w:val="single" w:color="auto" w:sz="4" w:space="0"/>
            </w:tcBorders>
            <w:tcMar>
              <w:top w:w="97" w:type="dxa"/>
              <w:left w:w="0" w:type="dxa"/>
              <w:bottom w:w="0" w:type="dxa"/>
              <w:right w:w="27" w:type="dxa"/>
            </w:tcMar>
            <w:vAlign w:val="center"/>
          </w:tcPr>
          <w:p w14:paraId="7333345C">
            <w:pPr>
              <w:pStyle w:val="50"/>
              <w:adjustRightInd w:val="0"/>
              <w:snapToGrid w:val="0"/>
              <w:ind w:firstLine="0" w:firstLineChars="0"/>
              <w:jc w:val="center"/>
              <w:rPr>
                <w:rFonts w:ascii="Times New Roman"/>
                <w:sz w:val="18"/>
                <w:szCs w:val="18"/>
              </w:rPr>
            </w:pPr>
            <w:r>
              <w:rPr>
                <w:rFonts w:ascii="Times New Roman"/>
                <w:sz w:val="18"/>
                <w:szCs w:val="18"/>
              </w:rPr>
              <w:t>86 kPa～106 kPa</w:t>
            </w:r>
          </w:p>
        </w:tc>
        <w:tc>
          <w:tcPr>
            <w:tcW w:w="3104" w:type="dxa"/>
            <w:tcBorders>
              <w:top w:val="single" w:color="auto" w:sz="4" w:space="0"/>
              <w:left w:val="single" w:color="auto" w:sz="4" w:space="0"/>
              <w:bottom w:val="single" w:color="auto" w:sz="4" w:space="0"/>
            </w:tcBorders>
            <w:tcMar>
              <w:top w:w="97" w:type="dxa"/>
              <w:left w:w="0" w:type="dxa"/>
              <w:bottom w:w="0" w:type="dxa"/>
              <w:right w:w="27" w:type="dxa"/>
            </w:tcMar>
            <w:vAlign w:val="center"/>
          </w:tcPr>
          <w:p w14:paraId="0E6CAC0E">
            <w:pPr>
              <w:pStyle w:val="50"/>
              <w:adjustRightInd w:val="0"/>
              <w:snapToGrid w:val="0"/>
              <w:ind w:firstLine="0" w:firstLineChars="0"/>
              <w:jc w:val="center"/>
              <w:rPr>
                <w:rFonts w:ascii="Times New Roman"/>
                <w:sz w:val="18"/>
                <w:szCs w:val="18"/>
              </w:rPr>
            </w:pPr>
            <w:r>
              <w:rPr>
                <w:rFonts w:ascii="Times New Roman"/>
                <w:sz w:val="18"/>
                <w:szCs w:val="18"/>
              </w:rPr>
              <w:t xml:space="preserve">– </w:t>
            </w:r>
          </w:p>
        </w:tc>
        <w:tc>
          <w:tcPr>
            <w:tcW w:w="35" w:type="dxa"/>
            <w:tcBorders>
              <w:top w:val="nil"/>
              <w:left w:val="nil"/>
              <w:bottom w:val="nil"/>
              <w:right w:val="single" w:color="auto" w:sz="8" w:space="0"/>
            </w:tcBorders>
            <w:vAlign w:val="center"/>
          </w:tcPr>
          <w:p w14:paraId="7A1147A9">
            <w:pPr>
              <w:spacing w:line="360" w:lineRule="exact"/>
              <w:jc w:val="left"/>
              <w:rPr>
                <w:sz w:val="18"/>
                <w:szCs w:val="18"/>
              </w:rPr>
            </w:pPr>
          </w:p>
        </w:tc>
      </w:tr>
      <w:tr w14:paraId="5D90CB31">
        <w:tblPrEx>
          <w:tblCellMar>
            <w:top w:w="0" w:type="dxa"/>
            <w:left w:w="0" w:type="dxa"/>
            <w:bottom w:w="0" w:type="dxa"/>
            <w:right w:w="0" w:type="dxa"/>
          </w:tblCellMar>
        </w:tblPrEx>
        <w:trPr>
          <w:trHeight w:val="340" w:hRule="atLeast"/>
          <w:jc w:val="center"/>
        </w:trPr>
        <w:tc>
          <w:tcPr>
            <w:tcW w:w="3097" w:type="dxa"/>
            <w:tcBorders>
              <w:top w:val="single" w:color="auto" w:sz="4" w:space="0"/>
              <w:left w:val="single" w:color="auto" w:sz="8" w:space="0"/>
              <w:bottom w:val="single" w:color="auto" w:sz="4" w:space="0"/>
              <w:right w:val="single" w:color="auto" w:sz="4" w:space="0"/>
            </w:tcBorders>
            <w:tcMar>
              <w:top w:w="97" w:type="dxa"/>
              <w:left w:w="0" w:type="dxa"/>
              <w:bottom w:w="0" w:type="dxa"/>
              <w:right w:w="27" w:type="dxa"/>
            </w:tcMar>
            <w:vAlign w:val="center"/>
          </w:tcPr>
          <w:p w14:paraId="381BDF66">
            <w:pPr>
              <w:pStyle w:val="50"/>
              <w:adjustRightInd w:val="0"/>
              <w:snapToGrid w:val="0"/>
              <w:ind w:firstLine="0" w:firstLineChars="0"/>
              <w:jc w:val="center"/>
              <w:rPr>
                <w:rFonts w:ascii="Times New Roman"/>
                <w:sz w:val="18"/>
                <w:szCs w:val="18"/>
              </w:rPr>
            </w:pPr>
            <w:r>
              <w:rPr>
                <w:rFonts w:ascii="Times New Roman"/>
                <w:sz w:val="18"/>
                <w:szCs w:val="18"/>
              </w:rPr>
              <w:t>电压</w:t>
            </w:r>
          </w:p>
        </w:tc>
        <w:tc>
          <w:tcPr>
            <w:tcW w:w="3128" w:type="dxa"/>
            <w:tcBorders>
              <w:top w:val="single" w:color="auto" w:sz="4" w:space="0"/>
              <w:left w:val="single" w:color="auto" w:sz="4" w:space="0"/>
              <w:bottom w:val="single" w:color="auto" w:sz="4" w:space="0"/>
              <w:right w:val="single" w:color="auto" w:sz="4" w:space="0"/>
            </w:tcBorders>
            <w:tcMar>
              <w:top w:w="97" w:type="dxa"/>
              <w:left w:w="0" w:type="dxa"/>
              <w:bottom w:w="0" w:type="dxa"/>
              <w:right w:w="27" w:type="dxa"/>
            </w:tcMar>
            <w:vAlign w:val="center"/>
          </w:tcPr>
          <w:p w14:paraId="205623B9">
            <w:pPr>
              <w:pStyle w:val="50"/>
              <w:adjustRightInd w:val="0"/>
              <w:snapToGrid w:val="0"/>
              <w:ind w:firstLine="0" w:firstLineChars="0"/>
              <w:jc w:val="center"/>
              <w:rPr>
                <w:rFonts w:ascii="Times New Roman"/>
                <w:sz w:val="18"/>
                <w:szCs w:val="18"/>
              </w:rPr>
            </w:pPr>
            <w:r>
              <w:rPr>
                <w:rFonts w:ascii="Times New Roman"/>
                <w:sz w:val="18"/>
                <w:szCs w:val="18"/>
              </w:rPr>
              <w:t>标称电压</w:t>
            </w:r>
          </w:p>
        </w:tc>
        <w:tc>
          <w:tcPr>
            <w:tcW w:w="3104" w:type="dxa"/>
            <w:tcBorders>
              <w:top w:val="single" w:color="auto" w:sz="4" w:space="0"/>
              <w:left w:val="single" w:color="auto" w:sz="4" w:space="0"/>
              <w:bottom w:val="single" w:color="auto" w:sz="4" w:space="0"/>
            </w:tcBorders>
            <w:tcMar>
              <w:top w:w="97" w:type="dxa"/>
              <w:left w:w="0" w:type="dxa"/>
              <w:bottom w:w="0" w:type="dxa"/>
              <w:right w:w="27" w:type="dxa"/>
            </w:tcMar>
            <w:vAlign w:val="center"/>
          </w:tcPr>
          <w:p w14:paraId="23A5379E">
            <w:pPr>
              <w:pStyle w:val="50"/>
              <w:adjustRightInd w:val="0"/>
              <w:snapToGrid w:val="0"/>
              <w:ind w:firstLine="0" w:firstLineChars="0"/>
              <w:jc w:val="center"/>
              <w:rPr>
                <w:rFonts w:ascii="Times New Roman"/>
                <w:sz w:val="18"/>
                <w:szCs w:val="18"/>
              </w:rPr>
            </w:pPr>
            <w:r>
              <w:rPr>
                <w:rFonts w:ascii="Times New Roman"/>
                <w:sz w:val="18"/>
                <w:szCs w:val="18"/>
              </w:rPr>
              <w:t>±1.0%</w:t>
            </w:r>
          </w:p>
        </w:tc>
        <w:tc>
          <w:tcPr>
            <w:tcW w:w="35" w:type="dxa"/>
            <w:tcBorders>
              <w:top w:val="nil"/>
              <w:left w:val="nil"/>
              <w:bottom w:val="nil"/>
              <w:right w:val="single" w:color="auto" w:sz="8" w:space="0"/>
            </w:tcBorders>
            <w:vAlign w:val="center"/>
          </w:tcPr>
          <w:p w14:paraId="14535FD9">
            <w:pPr>
              <w:spacing w:line="360" w:lineRule="exact"/>
              <w:jc w:val="left"/>
              <w:rPr>
                <w:sz w:val="18"/>
                <w:szCs w:val="18"/>
              </w:rPr>
            </w:pPr>
          </w:p>
        </w:tc>
      </w:tr>
      <w:tr w14:paraId="5AB79828">
        <w:tblPrEx>
          <w:tblCellMar>
            <w:top w:w="0" w:type="dxa"/>
            <w:left w:w="0" w:type="dxa"/>
            <w:bottom w:w="0" w:type="dxa"/>
            <w:right w:w="0" w:type="dxa"/>
          </w:tblCellMar>
        </w:tblPrEx>
        <w:trPr>
          <w:trHeight w:val="340" w:hRule="atLeast"/>
          <w:jc w:val="center"/>
        </w:trPr>
        <w:tc>
          <w:tcPr>
            <w:tcW w:w="3097" w:type="dxa"/>
            <w:tcBorders>
              <w:top w:val="single" w:color="auto" w:sz="4" w:space="0"/>
              <w:left w:val="single" w:color="auto" w:sz="8" w:space="0"/>
              <w:bottom w:val="single" w:color="auto" w:sz="4" w:space="0"/>
              <w:right w:val="single" w:color="auto" w:sz="4" w:space="0"/>
            </w:tcBorders>
            <w:tcMar>
              <w:top w:w="97" w:type="dxa"/>
              <w:left w:w="0" w:type="dxa"/>
              <w:bottom w:w="0" w:type="dxa"/>
              <w:right w:w="27" w:type="dxa"/>
            </w:tcMar>
            <w:vAlign w:val="center"/>
          </w:tcPr>
          <w:p w14:paraId="74059833">
            <w:pPr>
              <w:pStyle w:val="50"/>
              <w:adjustRightInd w:val="0"/>
              <w:snapToGrid w:val="0"/>
              <w:ind w:firstLine="0" w:firstLineChars="0"/>
              <w:jc w:val="center"/>
              <w:rPr>
                <w:rFonts w:ascii="Times New Roman"/>
                <w:sz w:val="18"/>
                <w:szCs w:val="18"/>
              </w:rPr>
            </w:pPr>
            <w:r>
              <w:rPr>
                <w:rFonts w:hint="eastAsia" w:ascii="Times New Roman"/>
                <w:sz w:val="18"/>
                <w:szCs w:val="18"/>
              </w:rPr>
              <w:t>波形</w:t>
            </w:r>
          </w:p>
        </w:tc>
        <w:tc>
          <w:tcPr>
            <w:tcW w:w="3128" w:type="dxa"/>
            <w:tcBorders>
              <w:top w:val="single" w:color="auto" w:sz="4" w:space="0"/>
              <w:left w:val="single" w:color="auto" w:sz="4" w:space="0"/>
              <w:bottom w:val="single" w:color="auto" w:sz="4" w:space="0"/>
              <w:right w:val="single" w:color="auto" w:sz="4" w:space="0"/>
            </w:tcBorders>
            <w:tcMar>
              <w:top w:w="97" w:type="dxa"/>
              <w:left w:w="0" w:type="dxa"/>
              <w:bottom w:w="0" w:type="dxa"/>
              <w:right w:w="27" w:type="dxa"/>
            </w:tcMar>
            <w:vAlign w:val="center"/>
          </w:tcPr>
          <w:p w14:paraId="15ACBF96">
            <w:pPr>
              <w:pStyle w:val="50"/>
              <w:adjustRightInd w:val="0"/>
              <w:snapToGrid w:val="0"/>
              <w:ind w:firstLine="0" w:firstLineChars="0"/>
              <w:jc w:val="center"/>
              <w:rPr>
                <w:rFonts w:ascii="Times New Roman"/>
                <w:sz w:val="18"/>
                <w:szCs w:val="18"/>
              </w:rPr>
            </w:pPr>
            <w:r>
              <w:rPr>
                <w:rFonts w:hint="eastAsia" w:ascii="Times New Roman"/>
                <w:sz w:val="18"/>
                <w:szCs w:val="18"/>
              </w:rPr>
              <w:t>直流电压和电流</w:t>
            </w:r>
          </w:p>
        </w:tc>
        <w:tc>
          <w:tcPr>
            <w:tcW w:w="3104" w:type="dxa"/>
            <w:tcBorders>
              <w:top w:val="single" w:color="auto" w:sz="4" w:space="0"/>
              <w:left w:val="single" w:color="auto" w:sz="4" w:space="0"/>
              <w:bottom w:val="single" w:color="auto" w:sz="4" w:space="0"/>
            </w:tcBorders>
            <w:tcMar>
              <w:top w:w="97" w:type="dxa"/>
              <w:left w:w="0" w:type="dxa"/>
              <w:bottom w:w="0" w:type="dxa"/>
              <w:right w:w="27" w:type="dxa"/>
            </w:tcMar>
            <w:vAlign w:val="center"/>
          </w:tcPr>
          <w:p w14:paraId="1F3E9611">
            <w:pPr>
              <w:pStyle w:val="50"/>
              <w:adjustRightInd w:val="0"/>
              <w:snapToGrid w:val="0"/>
              <w:ind w:firstLine="0" w:firstLineChars="0"/>
              <w:jc w:val="center"/>
              <w:rPr>
                <w:rFonts w:ascii="Times New Roman"/>
                <w:sz w:val="18"/>
                <w:szCs w:val="18"/>
              </w:rPr>
            </w:pPr>
            <w:r>
              <w:rPr>
                <w:rFonts w:hint="eastAsia" w:ascii="Times New Roman"/>
                <w:sz w:val="18"/>
                <w:szCs w:val="18"/>
              </w:rPr>
              <w:t>纹波系数小于2.0%</w:t>
            </w:r>
          </w:p>
        </w:tc>
        <w:tc>
          <w:tcPr>
            <w:tcW w:w="35" w:type="dxa"/>
            <w:tcBorders>
              <w:top w:val="nil"/>
              <w:left w:val="nil"/>
              <w:bottom w:val="nil"/>
              <w:right w:val="single" w:color="auto" w:sz="8" w:space="0"/>
            </w:tcBorders>
            <w:vAlign w:val="center"/>
          </w:tcPr>
          <w:p w14:paraId="3F0FC2F9">
            <w:pPr>
              <w:spacing w:line="360" w:lineRule="exact"/>
              <w:jc w:val="left"/>
              <w:rPr>
                <w:sz w:val="18"/>
                <w:szCs w:val="18"/>
              </w:rPr>
            </w:pPr>
          </w:p>
        </w:tc>
      </w:tr>
      <w:tr w14:paraId="1948C94F">
        <w:tblPrEx>
          <w:tblCellMar>
            <w:top w:w="0" w:type="dxa"/>
            <w:left w:w="0" w:type="dxa"/>
            <w:bottom w:w="0" w:type="dxa"/>
            <w:right w:w="0" w:type="dxa"/>
          </w:tblCellMar>
        </w:tblPrEx>
        <w:trPr>
          <w:trHeight w:val="340" w:hRule="atLeast"/>
          <w:jc w:val="center"/>
        </w:trPr>
        <w:tc>
          <w:tcPr>
            <w:tcW w:w="3097" w:type="dxa"/>
            <w:tcBorders>
              <w:top w:val="single" w:color="auto" w:sz="4" w:space="0"/>
              <w:left w:val="single" w:color="auto" w:sz="8" w:space="0"/>
              <w:bottom w:val="single" w:color="auto" w:sz="4" w:space="0"/>
              <w:right w:val="single" w:color="auto" w:sz="4" w:space="0"/>
            </w:tcBorders>
            <w:tcMar>
              <w:top w:w="97" w:type="dxa"/>
              <w:left w:w="0" w:type="dxa"/>
              <w:bottom w:w="0" w:type="dxa"/>
              <w:right w:w="27" w:type="dxa"/>
            </w:tcMar>
            <w:vAlign w:val="center"/>
          </w:tcPr>
          <w:p w14:paraId="16CFFBF5">
            <w:pPr>
              <w:pStyle w:val="50"/>
              <w:adjustRightInd w:val="0"/>
              <w:snapToGrid w:val="0"/>
              <w:ind w:firstLine="0" w:firstLineChars="0"/>
              <w:jc w:val="center"/>
              <w:rPr>
                <w:rFonts w:ascii="Times New Roman"/>
                <w:sz w:val="18"/>
                <w:szCs w:val="18"/>
              </w:rPr>
            </w:pPr>
            <w:r>
              <w:rPr>
                <w:rFonts w:ascii="Times New Roman"/>
                <w:sz w:val="18"/>
                <w:szCs w:val="18"/>
              </w:rPr>
              <w:t>外部恒定磁场</w:t>
            </w:r>
          </w:p>
        </w:tc>
        <w:tc>
          <w:tcPr>
            <w:tcW w:w="3128" w:type="dxa"/>
            <w:tcBorders>
              <w:top w:val="single" w:color="auto" w:sz="4" w:space="0"/>
              <w:left w:val="single" w:color="auto" w:sz="4" w:space="0"/>
              <w:bottom w:val="single" w:color="auto" w:sz="4" w:space="0"/>
              <w:right w:val="single" w:color="auto" w:sz="4" w:space="0"/>
            </w:tcBorders>
            <w:tcMar>
              <w:top w:w="97" w:type="dxa"/>
              <w:left w:w="0" w:type="dxa"/>
              <w:bottom w:w="0" w:type="dxa"/>
              <w:right w:w="27" w:type="dxa"/>
            </w:tcMar>
            <w:vAlign w:val="center"/>
          </w:tcPr>
          <w:p w14:paraId="4401A1B9">
            <w:pPr>
              <w:pStyle w:val="50"/>
              <w:adjustRightInd w:val="0"/>
              <w:snapToGrid w:val="0"/>
              <w:ind w:firstLine="0" w:firstLineChars="0"/>
              <w:jc w:val="center"/>
              <w:rPr>
                <w:rFonts w:ascii="Times New Roman"/>
                <w:sz w:val="18"/>
                <w:szCs w:val="18"/>
              </w:rPr>
            </w:pPr>
            <w:r>
              <w:rPr>
                <w:rFonts w:ascii="Times New Roman"/>
                <w:sz w:val="18"/>
                <w:szCs w:val="18"/>
              </w:rPr>
              <w:t>等于零</w:t>
            </w:r>
          </w:p>
        </w:tc>
        <w:tc>
          <w:tcPr>
            <w:tcW w:w="3104" w:type="dxa"/>
            <w:tcBorders>
              <w:top w:val="single" w:color="auto" w:sz="4" w:space="0"/>
              <w:left w:val="single" w:color="auto" w:sz="4" w:space="0"/>
              <w:bottom w:val="single" w:color="auto" w:sz="4" w:space="0"/>
            </w:tcBorders>
            <w:tcMar>
              <w:top w:w="97" w:type="dxa"/>
              <w:left w:w="0" w:type="dxa"/>
              <w:bottom w:w="0" w:type="dxa"/>
              <w:right w:w="27" w:type="dxa"/>
            </w:tcMar>
            <w:vAlign w:val="center"/>
          </w:tcPr>
          <w:p w14:paraId="0DA60722">
            <w:pPr>
              <w:pStyle w:val="50"/>
              <w:adjustRightInd w:val="0"/>
              <w:snapToGrid w:val="0"/>
              <w:ind w:firstLine="0" w:firstLineChars="0"/>
              <w:jc w:val="center"/>
              <w:rPr>
                <w:rFonts w:ascii="Times New Roman"/>
                <w:sz w:val="18"/>
                <w:szCs w:val="18"/>
              </w:rPr>
            </w:pPr>
            <w:r>
              <w:rPr>
                <w:rFonts w:ascii="Times New Roman"/>
                <w:sz w:val="18"/>
                <w:szCs w:val="18"/>
              </w:rPr>
              <w:t xml:space="preserve">– </w:t>
            </w:r>
          </w:p>
        </w:tc>
        <w:tc>
          <w:tcPr>
            <w:tcW w:w="35" w:type="dxa"/>
            <w:tcBorders>
              <w:top w:val="nil"/>
              <w:left w:val="nil"/>
              <w:bottom w:val="nil"/>
              <w:right w:val="single" w:color="auto" w:sz="8" w:space="0"/>
            </w:tcBorders>
            <w:vAlign w:val="center"/>
          </w:tcPr>
          <w:p w14:paraId="356C5D6C">
            <w:pPr>
              <w:spacing w:line="360" w:lineRule="exact"/>
              <w:jc w:val="left"/>
              <w:rPr>
                <w:sz w:val="18"/>
                <w:szCs w:val="18"/>
              </w:rPr>
            </w:pPr>
          </w:p>
        </w:tc>
      </w:tr>
      <w:tr w14:paraId="4539D08A">
        <w:tblPrEx>
          <w:tblCellMar>
            <w:top w:w="0" w:type="dxa"/>
            <w:left w:w="0" w:type="dxa"/>
            <w:bottom w:w="0" w:type="dxa"/>
            <w:right w:w="0" w:type="dxa"/>
          </w:tblCellMar>
        </w:tblPrEx>
        <w:trPr>
          <w:trHeight w:val="340" w:hRule="atLeast"/>
          <w:jc w:val="center"/>
        </w:trPr>
        <w:tc>
          <w:tcPr>
            <w:tcW w:w="3097" w:type="dxa"/>
            <w:tcBorders>
              <w:top w:val="single" w:color="auto" w:sz="4" w:space="0"/>
              <w:left w:val="single" w:color="auto" w:sz="8" w:space="0"/>
              <w:bottom w:val="single" w:color="auto" w:sz="4" w:space="0"/>
              <w:right w:val="single" w:color="auto" w:sz="4" w:space="0"/>
            </w:tcBorders>
            <w:tcMar>
              <w:top w:w="97" w:type="dxa"/>
              <w:left w:w="0" w:type="dxa"/>
              <w:bottom w:w="0" w:type="dxa"/>
              <w:right w:w="27" w:type="dxa"/>
            </w:tcMar>
            <w:vAlign w:val="center"/>
          </w:tcPr>
          <w:p w14:paraId="185FA3B5">
            <w:pPr>
              <w:pStyle w:val="50"/>
              <w:adjustRightInd w:val="0"/>
              <w:snapToGrid w:val="0"/>
              <w:ind w:firstLine="0" w:firstLineChars="0"/>
              <w:jc w:val="center"/>
              <w:rPr>
                <w:rFonts w:ascii="Times New Roman"/>
                <w:sz w:val="18"/>
                <w:szCs w:val="18"/>
              </w:rPr>
            </w:pPr>
            <w:r>
              <w:rPr>
                <w:rFonts w:ascii="Times New Roman"/>
                <w:sz w:val="18"/>
                <w:szCs w:val="18"/>
              </w:rPr>
              <w:t>工频磁场</w:t>
            </w:r>
          </w:p>
        </w:tc>
        <w:tc>
          <w:tcPr>
            <w:tcW w:w="3128" w:type="dxa"/>
            <w:tcBorders>
              <w:top w:val="single" w:color="auto" w:sz="4" w:space="0"/>
              <w:left w:val="single" w:color="auto" w:sz="4" w:space="0"/>
              <w:bottom w:val="single" w:color="auto" w:sz="4" w:space="0"/>
              <w:right w:val="single" w:color="auto" w:sz="4" w:space="0"/>
            </w:tcBorders>
            <w:tcMar>
              <w:top w:w="97" w:type="dxa"/>
              <w:left w:w="0" w:type="dxa"/>
              <w:bottom w:w="0" w:type="dxa"/>
              <w:right w:w="27" w:type="dxa"/>
            </w:tcMar>
            <w:vAlign w:val="center"/>
          </w:tcPr>
          <w:p w14:paraId="28181F96">
            <w:pPr>
              <w:pStyle w:val="50"/>
              <w:adjustRightInd w:val="0"/>
              <w:snapToGrid w:val="0"/>
              <w:ind w:firstLine="0" w:firstLineChars="0"/>
              <w:jc w:val="center"/>
              <w:rPr>
                <w:rFonts w:ascii="Times New Roman"/>
                <w:sz w:val="18"/>
                <w:szCs w:val="18"/>
              </w:rPr>
            </w:pPr>
            <w:r>
              <w:rPr>
                <w:rFonts w:ascii="Times New Roman"/>
                <w:sz w:val="18"/>
                <w:szCs w:val="18"/>
              </w:rPr>
              <w:t>等于零</w:t>
            </w:r>
          </w:p>
        </w:tc>
        <w:tc>
          <w:tcPr>
            <w:tcW w:w="3104" w:type="dxa"/>
            <w:tcBorders>
              <w:top w:val="single" w:color="auto" w:sz="4" w:space="0"/>
              <w:left w:val="single" w:color="auto" w:sz="4" w:space="0"/>
              <w:bottom w:val="single" w:color="auto" w:sz="4" w:space="0"/>
            </w:tcBorders>
            <w:tcMar>
              <w:top w:w="97" w:type="dxa"/>
              <w:left w:w="0" w:type="dxa"/>
              <w:bottom w:w="0" w:type="dxa"/>
              <w:right w:w="27" w:type="dxa"/>
            </w:tcMar>
            <w:vAlign w:val="center"/>
          </w:tcPr>
          <w:p w14:paraId="4080863F">
            <w:pPr>
              <w:pStyle w:val="50"/>
              <w:adjustRightInd w:val="0"/>
              <w:snapToGrid w:val="0"/>
              <w:ind w:firstLine="0" w:firstLineChars="0"/>
              <w:jc w:val="center"/>
              <w:rPr>
                <w:rFonts w:ascii="Times New Roman"/>
                <w:sz w:val="18"/>
                <w:szCs w:val="18"/>
              </w:rPr>
            </w:pPr>
            <w:r>
              <w:rPr>
                <w:rFonts w:ascii="Times New Roman"/>
                <w:sz w:val="18"/>
                <w:szCs w:val="18"/>
              </w:rPr>
              <w:t>引起误差改变不大于±0.1%的磁感应值，但在任何情况下应小于0.05 mT.</w:t>
            </w:r>
          </w:p>
        </w:tc>
        <w:tc>
          <w:tcPr>
            <w:tcW w:w="35" w:type="dxa"/>
            <w:tcBorders>
              <w:top w:val="nil"/>
              <w:left w:val="nil"/>
              <w:right w:val="single" w:color="auto" w:sz="8" w:space="0"/>
            </w:tcBorders>
            <w:vAlign w:val="center"/>
          </w:tcPr>
          <w:p w14:paraId="1DAB070A">
            <w:pPr>
              <w:spacing w:line="360" w:lineRule="exact"/>
              <w:jc w:val="left"/>
              <w:rPr>
                <w:sz w:val="18"/>
                <w:szCs w:val="18"/>
              </w:rPr>
            </w:pPr>
          </w:p>
        </w:tc>
      </w:tr>
      <w:tr w14:paraId="336CDED9">
        <w:tblPrEx>
          <w:tblCellMar>
            <w:top w:w="0" w:type="dxa"/>
            <w:left w:w="0" w:type="dxa"/>
            <w:bottom w:w="0" w:type="dxa"/>
            <w:right w:w="0" w:type="dxa"/>
          </w:tblCellMar>
        </w:tblPrEx>
        <w:trPr>
          <w:trHeight w:val="340" w:hRule="atLeast"/>
          <w:jc w:val="center"/>
        </w:trPr>
        <w:tc>
          <w:tcPr>
            <w:tcW w:w="3097" w:type="dxa"/>
            <w:tcBorders>
              <w:top w:val="single" w:color="auto" w:sz="4" w:space="0"/>
              <w:left w:val="single" w:color="auto" w:sz="8" w:space="0"/>
              <w:bottom w:val="single" w:color="auto" w:sz="4" w:space="0"/>
              <w:right w:val="single" w:color="auto" w:sz="4" w:space="0"/>
            </w:tcBorders>
            <w:tcMar>
              <w:top w:w="97" w:type="dxa"/>
              <w:left w:w="0" w:type="dxa"/>
              <w:bottom w:w="0" w:type="dxa"/>
              <w:right w:w="27" w:type="dxa"/>
            </w:tcMar>
            <w:vAlign w:val="center"/>
          </w:tcPr>
          <w:p w14:paraId="2C133DF6">
            <w:pPr>
              <w:pStyle w:val="50"/>
              <w:adjustRightInd w:val="0"/>
              <w:snapToGrid w:val="0"/>
              <w:ind w:firstLine="0" w:firstLineChars="0"/>
              <w:jc w:val="center"/>
              <w:rPr>
                <w:rFonts w:ascii="Times New Roman"/>
                <w:sz w:val="18"/>
                <w:szCs w:val="18"/>
              </w:rPr>
            </w:pPr>
            <w:r>
              <w:rPr>
                <w:rFonts w:ascii="Times New Roman"/>
                <w:sz w:val="18"/>
                <w:szCs w:val="18"/>
              </w:rPr>
              <w:t>射频电磁场，30 kHz</w:t>
            </w:r>
            <w:r>
              <w:rPr>
                <w:rFonts w:hint="eastAsia" w:ascii="Times New Roman"/>
                <w:sz w:val="18"/>
                <w:szCs w:val="18"/>
              </w:rPr>
              <w:t>~</w:t>
            </w:r>
            <w:r>
              <w:rPr>
                <w:rFonts w:ascii="Times New Roman"/>
                <w:sz w:val="18"/>
                <w:szCs w:val="18"/>
              </w:rPr>
              <w:t>6 GHz</w:t>
            </w:r>
          </w:p>
        </w:tc>
        <w:tc>
          <w:tcPr>
            <w:tcW w:w="3128" w:type="dxa"/>
            <w:tcBorders>
              <w:top w:val="single" w:color="auto" w:sz="4" w:space="0"/>
              <w:left w:val="single" w:color="auto" w:sz="4" w:space="0"/>
              <w:bottom w:val="single" w:color="auto" w:sz="4" w:space="0"/>
              <w:right w:val="single" w:color="auto" w:sz="4" w:space="0"/>
            </w:tcBorders>
            <w:tcMar>
              <w:top w:w="97" w:type="dxa"/>
              <w:left w:w="0" w:type="dxa"/>
              <w:bottom w:w="0" w:type="dxa"/>
              <w:right w:w="27" w:type="dxa"/>
            </w:tcMar>
            <w:vAlign w:val="center"/>
          </w:tcPr>
          <w:p w14:paraId="793CE406">
            <w:pPr>
              <w:pStyle w:val="50"/>
              <w:adjustRightInd w:val="0"/>
              <w:snapToGrid w:val="0"/>
              <w:ind w:firstLine="0" w:firstLineChars="0"/>
              <w:jc w:val="center"/>
              <w:rPr>
                <w:rFonts w:ascii="Times New Roman"/>
                <w:sz w:val="18"/>
                <w:szCs w:val="18"/>
              </w:rPr>
            </w:pPr>
            <w:r>
              <w:rPr>
                <w:rFonts w:ascii="Times New Roman"/>
                <w:sz w:val="18"/>
                <w:szCs w:val="18"/>
              </w:rPr>
              <w:t>等于零</w:t>
            </w:r>
          </w:p>
        </w:tc>
        <w:tc>
          <w:tcPr>
            <w:tcW w:w="3104" w:type="dxa"/>
            <w:tcBorders>
              <w:top w:val="single" w:color="auto" w:sz="4" w:space="0"/>
              <w:left w:val="single" w:color="auto" w:sz="4" w:space="0"/>
              <w:bottom w:val="single" w:color="auto" w:sz="4" w:space="0"/>
            </w:tcBorders>
            <w:tcMar>
              <w:top w:w="97" w:type="dxa"/>
              <w:left w:w="0" w:type="dxa"/>
              <w:bottom w:w="0" w:type="dxa"/>
              <w:right w:w="27" w:type="dxa"/>
            </w:tcMar>
            <w:vAlign w:val="center"/>
          </w:tcPr>
          <w:p w14:paraId="3004BC55">
            <w:pPr>
              <w:pStyle w:val="50"/>
              <w:adjustRightInd w:val="0"/>
              <w:snapToGrid w:val="0"/>
              <w:ind w:firstLine="0" w:firstLineChars="0"/>
              <w:jc w:val="center"/>
              <w:rPr>
                <w:rFonts w:ascii="Times New Roman"/>
                <w:sz w:val="18"/>
                <w:szCs w:val="18"/>
              </w:rPr>
            </w:pPr>
            <w:r>
              <w:rPr>
                <w:rFonts w:ascii="Times New Roman"/>
                <w:szCs w:val="18"/>
              </w:rPr>
              <w:t>＜</w:t>
            </w:r>
            <w:r>
              <w:rPr>
                <w:rFonts w:ascii="Times New Roman"/>
                <w:sz w:val="18"/>
                <w:szCs w:val="18"/>
              </w:rPr>
              <w:t>1 V/m</w:t>
            </w:r>
          </w:p>
        </w:tc>
        <w:tc>
          <w:tcPr>
            <w:tcW w:w="35" w:type="dxa"/>
            <w:tcBorders>
              <w:top w:val="nil"/>
              <w:left w:val="nil"/>
              <w:bottom w:val="nil"/>
              <w:right w:val="single" w:color="auto" w:sz="8" w:space="0"/>
            </w:tcBorders>
            <w:vAlign w:val="center"/>
          </w:tcPr>
          <w:p w14:paraId="40B9CFFC">
            <w:pPr>
              <w:spacing w:line="360" w:lineRule="exact"/>
              <w:jc w:val="left"/>
              <w:rPr>
                <w:sz w:val="18"/>
                <w:szCs w:val="18"/>
              </w:rPr>
            </w:pPr>
          </w:p>
        </w:tc>
      </w:tr>
      <w:tr w14:paraId="1A10D962">
        <w:tblPrEx>
          <w:tblCellMar>
            <w:top w:w="0" w:type="dxa"/>
            <w:left w:w="0" w:type="dxa"/>
            <w:bottom w:w="0" w:type="dxa"/>
            <w:right w:w="0" w:type="dxa"/>
          </w:tblCellMar>
        </w:tblPrEx>
        <w:trPr>
          <w:trHeight w:val="340" w:hRule="atLeast"/>
          <w:jc w:val="center"/>
        </w:trPr>
        <w:tc>
          <w:tcPr>
            <w:tcW w:w="3097" w:type="dxa"/>
            <w:tcBorders>
              <w:top w:val="single" w:color="auto" w:sz="4" w:space="0"/>
              <w:left w:val="single" w:color="auto" w:sz="8" w:space="0"/>
              <w:bottom w:val="single" w:color="auto" w:sz="4" w:space="0"/>
              <w:right w:val="single" w:color="auto" w:sz="4" w:space="0"/>
            </w:tcBorders>
            <w:tcMar>
              <w:top w:w="97" w:type="dxa"/>
              <w:left w:w="0" w:type="dxa"/>
              <w:bottom w:w="0" w:type="dxa"/>
              <w:right w:w="27" w:type="dxa"/>
            </w:tcMar>
            <w:vAlign w:val="center"/>
          </w:tcPr>
          <w:p w14:paraId="72ADFEAD">
            <w:pPr>
              <w:pStyle w:val="50"/>
              <w:adjustRightInd w:val="0"/>
              <w:snapToGrid w:val="0"/>
              <w:ind w:firstLine="0" w:firstLineChars="0"/>
              <w:jc w:val="center"/>
              <w:rPr>
                <w:rFonts w:ascii="Times New Roman"/>
                <w:sz w:val="18"/>
                <w:szCs w:val="18"/>
              </w:rPr>
            </w:pPr>
            <w:r>
              <w:rPr>
                <w:rFonts w:ascii="Times New Roman"/>
                <w:sz w:val="18"/>
                <w:szCs w:val="18"/>
              </w:rPr>
              <w:t>辅助装置工作</w:t>
            </w:r>
          </w:p>
        </w:tc>
        <w:tc>
          <w:tcPr>
            <w:tcW w:w="3128" w:type="dxa"/>
            <w:tcBorders>
              <w:top w:val="single" w:color="auto" w:sz="4" w:space="0"/>
              <w:left w:val="single" w:color="auto" w:sz="4" w:space="0"/>
              <w:bottom w:val="single" w:color="auto" w:sz="4" w:space="0"/>
              <w:right w:val="single" w:color="auto" w:sz="4" w:space="0"/>
            </w:tcBorders>
            <w:tcMar>
              <w:top w:w="97" w:type="dxa"/>
              <w:left w:w="0" w:type="dxa"/>
              <w:bottom w:w="0" w:type="dxa"/>
              <w:right w:w="27" w:type="dxa"/>
            </w:tcMar>
            <w:vAlign w:val="center"/>
          </w:tcPr>
          <w:p w14:paraId="18101681">
            <w:pPr>
              <w:pStyle w:val="50"/>
              <w:adjustRightInd w:val="0"/>
              <w:snapToGrid w:val="0"/>
              <w:ind w:firstLine="0" w:firstLineChars="0"/>
              <w:jc w:val="center"/>
              <w:rPr>
                <w:rFonts w:ascii="Times New Roman"/>
                <w:sz w:val="18"/>
                <w:szCs w:val="18"/>
              </w:rPr>
            </w:pPr>
            <w:r>
              <w:rPr>
                <w:rFonts w:ascii="Times New Roman"/>
                <w:sz w:val="18"/>
                <w:szCs w:val="18"/>
              </w:rPr>
              <w:t>辅助装置</w:t>
            </w:r>
            <w:r>
              <w:rPr>
                <w:rFonts w:hint="eastAsia" w:ascii="Times New Roman"/>
                <w:sz w:val="18"/>
                <w:szCs w:val="18"/>
              </w:rPr>
              <w:t>不</w:t>
            </w:r>
            <w:r>
              <w:rPr>
                <w:rFonts w:ascii="Times New Roman"/>
                <w:sz w:val="18"/>
                <w:szCs w:val="18"/>
              </w:rPr>
              <w:t>工作</w:t>
            </w:r>
          </w:p>
        </w:tc>
        <w:tc>
          <w:tcPr>
            <w:tcW w:w="3104" w:type="dxa"/>
            <w:tcBorders>
              <w:top w:val="single" w:color="auto" w:sz="4" w:space="0"/>
              <w:left w:val="single" w:color="auto" w:sz="4" w:space="0"/>
              <w:bottom w:val="single" w:color="auto" w:sz="4" w:space="0"/>
            </w:tcBorders>
            <w:tcMar>
              <w:top w:w="97" w:type="dxa"/>
              <w:left w:w="0" w:type="dxa"/>
              <w:bottom w:w="0" w:type="dxa"/>
              <w:right w:w="27" w:type="dxa"/>
            </w:tcMar>
            <w:vAlign w:val="center"/>
          </w:tcPr>
          <w:p w14:paraId="3C3C1CD1">
            <w:pPr>
              <w:pStyle w:val="50"/>
              <w:adjustRightInd w:val="0"/>
              <w:snapToGrid w:val="0"/>
              <w:ind w:firstLine="0" w:firstLineChars="0"/>
              <w:jc w:val="center"/>
              <w:rPr>
                <w:rFonts w:ascii="Times New Roman"/>
                <w:sz w:val="18"/>
                <w:szCs w:val="18"/>
              </w:rPr>
            </w:pPr>
            <w:r>
              <w:rPr>
                <w:rFonts w:ascii="Times New Roman"/>
                <w:sz w:val="18"/>
                <w:szCs w:val="18"/>
              </w:rPr>
              <w:t xml:space="preserve">– </w:t>
            </w:r>
          </w:p>
        </w:tc>
        <w:tc>
          <w:tcPr>
            <w:tcW w:w="35" w:type="dxa"/>
            <w:tcBorders>
              <w:top w:val="nil"/>
              <w:left w:val="nil"/>
              <w:bottom w:val="nil"/>
              <w:right w:val="single" w:color="auto" w:sz="8" w:space="0"/>
            </w:tcBorders>
            <w:vAlign w:val="center"/>
          </w:tcPr>
          <w:p w14:paraId="692A627A">
            <w:pPr>
              <w:spacing w:line="360" w:lineRule="exact"/>
              <w:jc w:val="left"/>
              <w:rPr>
                <w:sz w:val="18"/>
                <w:szCs w:val="18"/>
              </w:rPr>
            </w:pPr>
          </w:p>
        </w:tc>
      </w:tr>
      <w:tr w14:paraId="3F43545C">
        <w:tblPrEx>
          <w:tblCellMar>
            <w:top w:w="0" w:type="dxa"/>
            <w:left w:w="0" w:type="dxa"/>
            <w:bottom w:w="0" w:type="dxa"/>
            <w:right w:w="0" w:type="dxa"/>
          </w:tblCellMar>
        </w:tblPrEx>
        <w:trPr>
          <w:trHeight w:val="340" w:hRule="atLeast"/>
          <w:jc w:val="center"/>
        </w:trPr>
        <w:tc>
          <w:tcPr>
            <w:tcW w:w="3097" w:type="dxa"/>
            <w:tcBorders>
              <w:top w:val="single" w:color="auto" w:sz="4" w:space="0"/>
              <w:left w:val="single" w:color="auto" w:sz="8" w:space="0"/>
              <w:bottom w:val="single" w:color="auto" w:sz="4" w:space="0"/>
              <w:right w:val="single" w:color="auto" w:sz="4" w:space="0"/>
            </w:tcBorders>
            <w:tcMar>
              <w:top w:w="97" w:type="dxa"/>
              <w:left w:w="0" w:type="dxa"/>
              <w:bottom w:w="0" w:type="dxa"/>
              <w:right w:w="27" w:type="dxa"/>
            </w:tcMar>
            <w:vAlign w:val="center"/>
          </w:tcPr>
          <w:p w14:paraId="13705022">
            <w:pPr>
              <w:pStyle w:val="50"/>
              <w:adjustRightInd w:val="0"/>
              <w:snapToGrid w:val="0"/>
              <w:ind w:firstLine="0" w:firstLineChars="0"/>
              <w:jc w:val="center"/>
              <w:rPr>
                <w:rFonts w:ascii="Times New Roman"/>
                <w:sz w:val="18"/>
                <w:szCs w:val="18"/>
              </w:rPr>
            </w:pPr>
            <w:r>
              <w:rPr>
                <w:rFonts w:ascii="Times New Roman"/>
                <w:sz w:val="18"/>
                <w:szCs w:val="18"/>
              </w:rPr>
              <w:t>射频场感应的传导骚扰</w:t>
            </w:r>
            <w:bookmarkStart w:id="56" w:name="OLE_LINK813"/>
            <w:bookmarkStart w:id="57" w:name="OLE_LINK814"/>
            <w:r>
              <w:rPr>
                <w:rFonts w:ascii="Times New Roman"/>
                <w:sz w:val="18"/>
                <w:szCs w:val="18"/>
              </w:rPr>
              <w:t>，</w:t>
            </w:r>
          </w:p>
          <w:p w14:paraId="56BEDF6C">
            <w:pPr>
              <w:pStyle w:val="50"/>
              <w:adjustRightInd w:val="0"/>
              <w:snapToGrid w:val="0"/>
              <w:ind w:firstLine="0" w:firstLineChars="0"/>
              <w:jc w:val="center"/>
              <w:rPr>
                <w:rFonts w:ascii="Times New Roman"/>
                <w:sz w:val="18"/>
                <w:szCs w:val="18"/>
              </w:rPr>
            </w:pPr>
            <w:r>
              <w:rPr>
                <w:rFonts w:ascii="Times New Roman"/>
                <w:sz w:val="18"/>
                <w:szCs w:val="18"/>
              </w:rPr>
              <w:t>150 kHz～80 MHz</w:t>
            </w:r>
            <w:bookmarkEnd w:id="56"/>
            <w:bookmarkEnd w:id="57"/>
          </w:p>
        </w:tc>
        <w:tc>
          <w:tcPr>
            <w:tcW w:w="3128" w:type="dxa"/>
            <w:tcBorders>
              <w:top w:val="single" w:color="auto" w:sz="4" w:space="0"/>
              <w:left w:val="single" w:color="auto" w:sz="4" w:space="0"/>
              <w:bottom w:val="single" w:color="auto" w:sz="4" w:space="0"/>
              <w:right w:val="single" w:color="auto" w:sz="4" w:space="0"/>
            </w:tcBorders>
            <w:tcMar>
              <w:top w:w="97" w:type="dxa"/>
              <w:left w:w="0" w:type="dxa"/>
              <w:bottom w:w="0" w:type="dxa"/>
              <w:right w:w="27" w:type="dxa"/>
            </w:tcMar>
            <w:vAlign w:val="center"/>
          </w:tcPr>
          <w:p w14:paraId="738E1F7A">
            <w:pPr>
              <w:pStyle w:val="50"/>
              <w:adjustRightInd w:val="0"/>
              <w:snapToGrid w:val="0"/>
              <w:ind w:firstLine="0" w:firstLineChars="0"/>
              <w:jc w:val="center"/>
              <w:rPr>
                <w:rFonts w:ascii="Times New Roman"/>
                <w:sz w:val="18"/>
                <w:szCs w:val="18"/>
              </w:rPr>
            </w:pPr>
            <w:r>
              <w:rPr>
                <w:rFonts w:ascii="Times New Roman"/>
                <w:sz w:val="18"/>
                <w:szCs w:val="18"/>
              </w:rPr>
              <w:t>等于零</w:t>
            </w:r>
          </w:p>
        </w:tc>
        <w:tc>
          <w:tcPr>
            <w:tcW w:w="3104" w:type="dxa"/>
            <w:tcBorders>
              <w:top w:val="single" w:color="auto" w:sz="4" w:space="0"/>
              <w:left w:val="single" w:color="auto" w:sz="4" w:space="0"/>
              <w:bottom w:val="single" w:color="auto" w:sz="4" w:space="0"/>
            </w:tcBorders>
            <w:tcMar>
              <w:top w:w="97" w:type="dxa"/>
              <w:left w:w="0" w:type="dxa"/>
              <w:bottom w:w="0" w:type="dxa"/>
              <w:right w:w="27" w:type="dxa"/>
            </w:tcMar>
            <w:vAlign w:val="center"/>
          </w:tcPr>
          <w:p w14:paraId="2E5A8515">
            <w:pPr>
              <w:pStyle w:val="50"/>
              <w:adjustRightInd w:val="0"/>
              <w:snapToGrid w:val="0"/>
              <w:ind w:firstLine="0" w:firstLineChars="0"/>
              <w:jc w:val="center"/>
              <w:rPr>
                <w:rFonts w:ascii="Times New Roman"/>
                <w:sz w:val="18"/>
                <w:szCs w:val="18"/>
              </w:rPr>
            </w:pPr>
            <w:r>
              <w:rPr>
                <w:rFonts w:ascii="Times New Roman"/>
                <w:szCs w:val="18"/>
              </w:rPr>
              <w:t>＜</w:t>
            </w:r>
            <w:r>
              <w:rPr>
                <w:rFonts w:ascii="Times New Roman"/>
                <w:sz w:val="18"/>
                <w:szCs w:val="18"/>
              </w:rPr>
              <w:t>1 V</w:t>
            </w:r>
          </w:p>
        </w:tc>
        <w:tc>
          <w:tcPr>
            <w:tcW w:w="35" w:type="dxa"/>
            <w:tcBorders>
              <w:top w:val="nil"/>
              <w:left w:val="nil"/>
              <w:bottom w:val="nil"/>
              <w:right w:val="single" w:color="auto" w:sz="8" w:space="0"/>
            </w:tcBorders>
            <w:vAlign w:val="center"/>
          </w:tcPr>
          <w:p w14:paraId="61B0308C">
            <w:pPr>
              <w:spacing w:line="360" w:lineRule="exact"/>
              <w:jc w:val="left"/>
              <w:rPr>
                <w:sz w:val="18"/>
                <w:szCs w:val="18"/>
              </w:rPr>
            </w:pPr>
          </w:p>
        </w:tc>
      </w:tr>
      <w:tr w14:paraId="153F820A">
        <w:tblPrEx>
          <w:tblCellMar>
            <w:top w:w="0" w:type="dxa"/>
            <w:left w:w="0" w:type="dxa"/>
            <w:bottom w:w="0" w:type="dxa"/>
            <w:right w:w="0" w:type="dxa"/>
          </w:tblCellMar>
        </w:tblPrEx>
        <w:trPr>
          <w:trHeight w:val="340" w:hRule="atLeast"/>
          <w:jc w:val="center"/>
        </w:trPr>
        <w:tc>
          <w:tcPr>
            <w:tcW w:w="3097" w:type="dxa"/>
            <w:vMerge w:val="restart"/>
            <w:tcBorders>
              <w:top w:val="single" w:color="auto" w:sz="4" w:space="0"/>
              <w:left w:val="single" w:color="auto" w:sz="8" w:space="0"/>
              <w:bottom w:val="single" w:color="auto" w:sz="4" w:space="0"/>
              <w:right w:val="single" w:color="auto" w:sz="4" w:space="0"/>
            </w:tcBorders>
            <w:tcMar>
              <w:top w:w="97" w:type="dxa"/>
              <w:left w:w="0" w:type="dxa"/>
              <w:bottom w:w="0" w:type="dxa"/>
              <w:right w:w="27" w:type="dxa"/>
            </w:tcMar>
            <w:vAlign w:val="center"/>
          </w:tcPr>
          <w:p w14:paraId="15081DAC">
            <w:pPr>
              <w:pStyle w:val="50"/>
              <w:snapToGrid w:val="0"/>
              <w:ind w:firstLine="360"/>
              <w:jc w:val="center"/>
              <w:rPr>
                <w:rFonts w:ascii="Times New Roman"/>
                <w:sz w:val="18"/>
                <w:szCs w:val="18"/>
              </w:rPr>
            </w:pPr>
            <w:r>
              <w:rPr>
                <w:rFonts w:ascii="Times New Roman"/>
                <w:sz w:val="18"/>
                <w:szCs w:val="18"/>
              </w:rPr>
              <w:t>2 kHz~150 kHz传导差模电流，仅适用交流辅助电源</w:t>
            </w:r>
          </w:p>
        </w:tc>
        <w:tc>
          <w:tcPr>
            <w:tcW w:w="3128" w:type="dxa"/>
            <w:vMerge w:val="restart"/>
            <w:tcBorders>
              <w:top w:val="single" w:color="auto" w:sz="4" w:space="0"/>
              <w:left w:val="single" w:color="auto" w:sz="4" w:space="0"/>
              <w:bottom w:val="single" w:color="auto" w:sz="4" w:space="0"/>
              <w:right w:val="single" w:color="auto" w:sz="4" w:space="0"/>
            </w:tcBorders>
            <w:tcMar>
              <w:top w:w="97" w:type="dxa"/>
              <w:left w:w="0" w:type="dxa"/>
              <w:bottom w:w="0" w:type="dxa"/>
              <w:right w:w="27" w:type="dxa"/>
            </w:tcMar>
            <w:vAlign w:val="center"/>
          </w:tcPr>
          <w:p w14:paraId="73671790">
            <w:pPr>
              <w:pStyle w:val="50"/>
              <w:adjustRightInd w:val="0"/>
              <w:snapToGrid w:val="0"/>
              <w:ind w:firstLine="0" w:firstLineChars="0"/>
              <w:jc w:val="center"/>
              <w:rPr>
                <w:rFonts w:ascii="Times New Roman"/>
                <w:sz w:val="18"/>
                <w:szCs w:val="18"/>
              </w:rPr>
            </w:pPr>
            <w:r>
              <w:rPr>
                <w:rFonts w:ascii="Times New Roman"/>
                <w:sz w:val="18"/>
                <w:szCs w:val="18"/>
              </w:rPr>
              <w:t>等于零</w:t>
            </w:r>
          </w:p>
        </w:tc>
        <w:tc>
          <w:tcPr>
            <w:tcW w:w="3104" w:type="dxa"/>
            <w:vMerge w:val="restart"/>
            <w:tcBorders>
              <w:top w:val="single" w:color="auto" w:sz="4" w:space="0"/>
              <w:left w:val="single" w:color="auto" w:sz="4" w:space="0"/>
              <w:bottom w:val="single" w:color="auto" w:sz="4" w:space="0"/>
            </w:tcBorders>
            <w:tcMar>
              <w:top w:w="97" w:type="dxa"/>
              <w:left w:w="0" w:type="dxa"/>
              <w:bottom w:w="0" w:type="dxa"/>
              <w:right w:w="27" w:type="dxa"/>
            </w:tcMar>
            <w:vAlign w:val="center"/>
          </w:tcPr>
          <w:p w14:paraId="54FFE579">
            <w:pPr>
              <w:pStyle w:val="50"/>
              <w:adjustRightInd w:val="0"/>
              <w:snapToGrid w:val="0"/>
              <w:ind w:firstLine="0" w:firstLineChars="0"/>
              <w:jc w:val="center"/>
              <w:rPr>
                <w:rFonts w:ascii="Times New Roman"/>
                <w:sz w:val="18"/>
                <w:szCs w:val="18"/>
              </w:rPr>
            </w:pPr>
            <w:r>
              <w:rPr>
                <w:rFonts w:ascii="Times New Roman"/>
                <w:szCs w:val="18"/>
              </w:rPr>
              <w:t>＜</w:t>
            </w:r>
            <w:r>
              <w:rPr>
                <w:rFonts w:ascii="Times New Roman"/>
                <w:sz w:val="18"/>
                <w:szCs w:val="18"/>
              </w:rPr>
              <w:t>0.1 A</w:t>
            </w:r>
          </w:p>
        </w:tc>
        <w:tc>
          <w:tcPr>
            <w:tcW w:w="35" w:type="dxa"/>
            <w:tcBorders>
              <w:top w:val="nil"/>
              <w:left w:val="nil"/>
              <w:bottom w:val="nil"/>
              <w:right w:val="single" w:color="auto" w:sz="8" w:space="0"/>
            </w:tcBorders>
            <w:vAlign w:val="center"/>
          </w:tcPr>
          <w:p w14:paraId="78133E07">
            <w:pPr>
              <w:spacing w:line="360" w:lineRule="exact"/>
              <w:jc w:val="left"/>
              <w:rPr>
                <w:sz w:val="18"/>
                <w:szCs w:val="18"/>
              </w:rPr>
            </w:pPr>
          </w:p>
        </w:tc>
      </w:tr>
      <w:tr w14:paraId="64B8CBB1">
        <w:tblPrEx>
          <w:tblCellMar>
            <w:top w:w="0" w:type="dxa"/>
            <w:left w:w="0" w:type="dxa"/>
            <w:bottom w:w="0" w:type="dxa"/>
            <w:right w:w="0" w:type="dxa"/>
          </w:tblCellMar>
        </w:tblPrEx>
        <w:trPr>
          <w:trHeight w:val="340" w:hRule="atLeast"/>
          <w:jc w:val="center"/>
        </w:trPr>
        <w:tc>
          <w:tcPr>
            <w:tcW w:w="3097" w:type="dxa"/>
            <w:vMerge w:val="continue"/>
            <w:tcBorders>
              <w:top w:val="single" w:color="auto" w:sz="4" w:space="0"/>
              <w:left w:val="single" w:color="auto" w:sz="8" w:space="0"/>
              <w:bottom w:val="single" w:color="auto" w:sz="4" w:space="0"/>
              <w:right w:val="single" w:color="auto" w:sz="4" w:space="0"/>
            </w:tcBorders>
            <w:vAlign w:val="center"/>
          </w:tcPr>
          <w:p w14:paraId="406C77E6">
            <w:pPr>
              <w:pStyle w:val="50"/>
              <w:adjustRightInd w:val="0"/>
              <w:snapToGrid w:val="0"/>
              <w:ind w:firstLine="0" w:firstLineChars="0"/>
              <w:jc w:val="center"/>
              <w:rPr>
                <w:rFonts w:ascii="Times New Roman"/>
                <w:sz w:val="18"/>
                <w:szCs w:val="18"/>
              </w:rPr>
            </w:pPr>
          </w:p>
        </w:tc>
        <w:tc>
          <w:tcPr>
            <w:tcW w:w="3128" w:type="dxa"/>
            <w:vMerge w:val="continue"/>
            <w:tcBorders>
              <w:top w:val="single" w:color="auto" w:sz="4" w:space="0"/>
              <w:left w:val="single" w:color="auto" w:sz="4" w:space="0"/>
              <w:bottom w:val="single" w:color="auto" w:sz="4" w:space="0"/>
              <w:right w:val="single" w:color="auto" w:sz="4" w:space="0"/>
            </w:tcBorders>
            <w:vAlign w:val="center"/>
          </w:tcPr>
          <w:p w14:paraId="1C408A39">
            <w:pPr>
              <w:pStyle w:val="50"/>
              <w:adjustRightInd w:val="0"/>
              <w:snapToGrid w:val="0"/>
              <w:ind w:firstLine="0" w:firstLineChars="0"/>
              <w:jc w:val="center"/>
              <w:rPr>
                <w:rFonts w:ascii="Times New Roman"/>
                <w:sz w:val="18"/>
                <w:szCs w:val="18"/>
              </w:rPr>
            </w:pPr>
          </w:p>
        </w:tc>
        <w:tc>
          <w:tcPr>
            <w:tcW w:w="3104" w:type="dxa"/>
            <w:vMerge w:val="continue"/>
            <w:tcBorders>
              <w:top w:val="single" w:color="auto" w:sz="4" w:space="0"/>
              <w:left w:val="single" w:color="auto" w:sz="4" w:space="0"/>
              <w:bottom w:val="single" w:color="auto" w:sz="4" w:space="0"/>
            </w:tcBorders>
            <w:vAlign w:val="center"/>
          </w:tcPr>
          <w:p w14:paraId="7303741C">
            <w:pPr>
              <w:pStyle w:val="50"/>
              <w:adjustRightInd w:val="0"/>
              <w:snapToGrid w:val="0"/>
              <w:ind w:firstLine="0" w:firstLineChars="0"/>
              <w:jc w:val="center"/>
              <w:rPr>
                <w:rFonts w:ascii="Times New Roman"/>
                <w:sz w:val="18"/>
                <w:szCs w:val="18"/>
              </w:rPr>
            </w:pPr>
          </w:p>
        </w:tc>
        <w:tc>
          <w:tcPr>
            <w:tcW w:w="35" w:type="dxa"/>
            <w:tcBorders>
              <w:top w:val="nil"/>
              <w:left w:val="nil"/>
              <w:bottom w:val="nil"/>
              <w:right w:val="single" w:color="auto" w:sz="8" w:space="0"/>
            </w:tcBorders>
            <w:vAlign w:val="center"/>
          </w:tcPr>
          <w:p w14:paraId="668A5A58">
            <w:pPr>
              <w:spacing w:line="360" w:lineRule="exact"/>
              <w:jc w:val="left"/>
              <w:rPr>
                <w:sz w:val="18"/>
                <w:szCs w:val="18"/>
              </w:rPr>
            </w:pPr>
          </w:p>
        </w:tc>
      </w:tr>
      <w:tr w14:paraId="70AF3FCE">
        <w:tblPrEx>
          <w:tblCellMar>
            <w:top w:w="0" w:type="dxa"/>
            <w:left w:w="0" w:type="dxa"/>
            <w:bottom w:w="0" w:type="dxa"/>
            <w:right w:w="0" w:type="dxa"/>
          </w:tblCellMar>
        </w:tblPrEx>
        <w:trPr>
          <w:trHeight w:val="340" w:hRule="atLeast"/>
          <w:jc w:val="center"/>
        </w:trPr>
        <w:tc>
          <w:tcPr>
            <w:tcW w:w="3097" w:type="dxa"/>
            <w:tcBorders>
              <w:top w:val="single" w:color="auto" w:sz="4" w:space="0"/>
              <w:left w:val="single" w:color="auto" w:sz="8" w:space="0"/>
              <w:bottom w:val="single" w:color="auto" w:sz="4" w:space="0"/>
              <w:right w:val="single" w:color="auto" w:sz="4" w:space="0"/>
            </w:tcBorders>
            <w:tcMar>
              <w:top w:w="97" w:type="dxa"/>
              <w:left w:w="0" w:type="dxa"/>
              <w:bottom w:w="0" w:type="dxa"/>
              <w:right w:w="27" w:type="dxa"/>
            </w:tcMar>
            <w:vAlign w:val="center"/>
          </w:tcPr>
          <w:p w14:paraId="206B2A75">
            <w:pPr>
              <w:pStyle w:val="50"/>
              <w:adjustRightInd w:val="0"/>
              <w:snapToGrid w:val="0"/>
              <w:ind w:firstLine="0" w:firstLineChars="0"/>
              <w:jc w:val="center"/>
              <w:rPr>
                <w:rFonts w:ascii="Times New Roman"/>
                <w:sz w:val="18"/>
                <w:szCs w:val="18"/>
              </w:rPr>
            </w:pPr>
            <w:r>
              <w:rPr>
                <w:rFonts w:hint="eastAsia" w:ascii="Times New Roman"/>
                <w:sz w:val="18"/>
                <w:szCs w:val="18"/>
              </w:rPr>
              <w:t>影响量</w:t>
            </w:r>
          </w:p>
        </w:tc>
        <w:tc>
          <w:tcPr>
            <w:tcW w:w="3128" w:type="dxa"/>
            <w:tcBorders>
              <w:top w:val="single" w:color="auto" w:sz="4" w:space="0"/>
              <w:left w:val="single" w:color="auto" w:sz="4" w:space="0"/>
              <w:bottom w:val="single" w:color="auto" w:sz="4" w:space="0"/>
              <w:right w:val="single" w:color="auto" w:sz="4" w:space="0"/>
            </w:tcBorders>
            <w:tcMar>
              <w:top w:w="97" w:type="dxa"/>
              <w:left w:w="0" w:type="dxa"/>
              <w:bottom w:w="0" w:type="dxa"/>
              <w:right w:w="27" w:type="dxa"/>
            </w:tcMar>
            <w:vAlign w:val="center"/>
          </w:tcPr>
          <w:p w14:paraId="4A488639">
            <w:pPr>
              <w:pStyle w:val="50"/>
              <w:adjustRightInd w:val="0"/>
              <w:snapToGrid w:val="0"/>
              <w:ind w:firstLine="0" w:firstLineChars="0"/>
              <w:jc w:val="center"/>
              <w:rPr>
                <w:rFonts w:ascii="Times New Roman"/>
                <w:sz w:val="18"/>
                <w:szCs w:val="18"/>
              </w:rPr>
            </w:pPr>
            <w:r>
              <w:rPr>
                <w:rFonts w:hint="eastAsia" w:ascii="Times New Roman"/>
                <w:sz w:val="18"/>
                <w:szCs w:val="18"/>
              </w:rPr>
              <w:t>参比值</w:t>
            </w:r>
          </w:p>
        </w:tc>
        <w:tc>
          <w:tcPr>
            <w:tcW w:w="3104" w:type="dxa"/>
            <w:tcBorders>
              <w:top w:val="single" w:color="auto" w:sz="4" w:space="0"/>
              <w:left w:val="single" w:color="auto" w:sz="4" w:space="0"/>
              <w:bottom w:val="single" w:color="auto" w:sz="4" w:space="0"/>
            </w:tcBorders>
            <w:tcMar>
              <w:top w:w="97" w:type="dxa"/>
              <w:left w:w="0" w:type="dxa"/>
              <w:bottom w:w="0" w:type="dxa"/>
              <w:right w:w="27" w:type="dxa"/>
            </w:tcMar>
            <w:vAlign w:val="center"/>
          </w:tcPr>
          <w:p w14:paraId="5B5209A1">
            <w:pPr>
              <w:pStyle w:val="50"/>
              <w:adjustRightInd w:val="0"/>
              <w:snapToGrid w:val="0"/>
              <w:ind w:firstLine="0" w:firstLineChars="0"/>
              <w:jc w:val="center"/>
              <w:rPr>
                <w:rFonts w:ascii="Times New Roman"/>
                <w:sz w:val="18"/>
                <w:szCs w:val="18"/>
              </w:rPr>
            </w:pPr>
            <w:r>
              <w:rPr>
                <w:rFonts w:hint="eastAsia" w:ascii="Times New Roman"/>
                <w:sz w:val="18"/>
                <w:szCs w:val="18"/>
              </w:rPr>
              <w:t>允许偏差</w:t>
            </w:r>
          </w:p>
        </w:tc>
        <w:tc>
          <w:tcPr>
            <w:tcW w:w="35" w:type="dxa"/>
            <w:tcBorders>
              <w:top w:val="nil"/>
              <w:left w:val="nil"/>
              <w:bottom w:val="nil"/>
              <w:right w:val="single" w:color="auto" w:sz="8" w:space="0"/>
            </w:tcBorders>
            <w:vAlign w:val="center"/>
          </w:tcPr>
          <w:p w14:paraId="754845EB">
            <w:pPr>
              <w:spacing w:line="360" w:lineRule="exact"/>
              <w:jc w:val="left"/>
              <w:rPr>
                <w:sz w:val="18"/>
                <w:szCs w:val="18"/>
              </w:rPr>
            </w:pPr>
          </w:p>
        </w:tc>
      </w:tr>
      <w:tr w14:paraId="09A983FC">
        <w:tblPrEx>
          <w:tblCellMar>
            <w:top w:w="0" w:type="dxa"/>
            <w:left w:w="0" w:type="dxa"/>
            <w:bottom w:w="0" w:type="dxa"/>
            <w:right w:w="0" w:type="dxa"/>
          </w:tblCellMar>
        </w:tblPrEx>
        <w:trPr>
          <w:trHeight w:val="340" w:hRule="atLeast"/>
          <w:jc w:val="center"/>
        </w:trPr>
        <w:tc>
          <w:tcPr>
            <w:tcW w:w="3097" w:type="dxa"/>
            <w:tcBorders>
              <w:top w:val="single" w:color="auto" w:sz="4" w:space="0"/>
              <w:left w:val="single" w:color="auto" w:sz="8" w:space="0"/>
              <w:right w:val="single" w:color="auto" w:sz="4" w:space="0"/>
            </w:tcBorders>
            <w:tcMar>
              <w:top w:w="97" w:type="dxa"/>
              <w:left w:w="0" w:type="dxa"/>
              <w:bottom w:w="0" w:type="dxa"/>
              <w:right w:w="27" w:type="dxa"/>
            </w:tcMar>
            <w:vAlign w:val="center"/>
          </w:tcPr>
          <w:p w14:paraId="0E2FB05C">
            <w:pPr>
              <w:pStyle w:val="50"/>
              <w:adjustRightInd w:val="0"/>
              <w:snapToGrid w:val="0"/>
              <w:ind w:firstLine="0" w:firstLineChars="0"/>
              <w:jc w:val="center"/>
              <w:rPr>
                <w:rFonts w:ascii="Times New Roman"/>
                <w:sz w:val="18"/>
                <w:szCs w:val="18"/>
              </w:rPr>
            </w:pPr>
            <w:r>
              <w:rPr>
                <w:rFonts w:ascii="Times New Roman"/>
                <w:sz w:val="18"/>
                <w:szCs w:val="18"/>
              </w:rPr>
              <w:t>接地电阻</w:t>
            </w:r>
            <w:r>
              <w:rPr>
                <w:rFonts w:ascii="Times New Roman"/>
                <w:sz w:val="18"/>
                <w:szCs w:val="18"/>
                <w:vertAlign w:val="superscript"/>
              </w:rPr>
              <w:t>c</w:t>
            </w:r>
          </w:p>
        </w:tc>
        <w:tc>
          <w:tcPr>
            <w:tcW w:w="3128" w:type="dxa"/>
            <w:tcBorders>
              <w:top w:val="single" w:color="auto" w:sz="4" w:space="0"/>
              <w:left w:val="single" w:color="auto" w:sz="4" w:space="0"/>
              <w:right w:val="single" w:color="auto" w:sz="4" w:space="0"/>
            </w:tcBorders>
            <w:tcMar>
              <w:top w:w="97" w:type="dxa"/>
              <w:left w:w="0" w:type="dxa"/>
              <w:bottom w:w="0" w:type="dxa"/>
              <w:right w:w="27" w:type="dxa"/>
            </w:tcMar>
            <w:vAlign w:val="center"/>
          </w:tcPr>
          <w:p w14:paraId="568D69E6">
            <w:pPr>
              <w:pStyle w:val="50"/>
              <w:adjustRightInd w:val="0"/>
              <w:snapToGrid w:val="0"/>
              <w:ind w:firstLine="0" w:firstLineChars="0"/>
              <w:jc w:val="center"/>
              <w:rPr>
                <w:rFonts w:ascii="Times New Roman"/>
                <w:sz w:val="18"/>
                <w:szCs w:val="18"/>
              </w:rPr>
            </w:pPr>
            <w:r>
              <w:rPr>
                <w:rFonts w:ascii="Times New Roman"/>
                <w:sz w:val="18"/>
                <w:szCs w:val="18"/>
              </w:rPr>
              <w:t>等于零</w:t>
            </w:r>
          </w:p>
        </w:tc>
        <w:tc>
          <w:tcPr>
            <w:tcW w:w="3104" w:type="dxa"/>
            <w:tcBorders>
              <w:top w:val="single" w:color="auto" w:sz="4" w:space="0"/>
              <w:left w:val="single" w:color="auto" w:sz="4" w:space="0"/>
            </w:tcBorders>
            <w:tcMar>
              <w:top w:w="97" w:type="dxa"/>
              <w:left w:w="0" w:type="dxa"/>
              <w:bottom w:w="0" w:type="dxa"/>
              <w:right w:w="27" w:type="dxa"/>
            </w:tcMar>
            <w:vAlign w:val="center"/>
          </w:tcPr>
          <w:p w14:paraId="0A248A67">
            <w:pPr>
              <w:pStyle w:val="50"/>
              <w:adjustRightInd w:val="0"/>
              <w:snapToGrid w:val="0"/>
              <w:ind w:firstLine="0" w:firstLineChars="0"/>
              <w:jc w:val="center"/>
              <w:rPr>
                <w:rFonts w:ascii="Times New Roman"/>
                <w:sz w:val="18"/>
                <w:szCs w:val="18"/>
              </w:rPr>
            </w:pPr>
            <w:r>
              <w:rPr>
                <w:rFonts w:ascii="Times New Roman"/>
                <w:szCs w:val="18"/>
              </w:rPr>
              <w:t>＜</w:t>
            </w:r>
            <w:r>
              <w:rPr>
                <w:rFonts w:ascii="Times New Roman"/>
                <w:sz w:val="18"/>
                <w:szCs w:val="18"/>
              </w:rPr>
              <w:t xml:space="preserve">2 Ω </w:t>
            </w:r>
          </w:p>
        </w:tc>
        <w:tc>
          <w:tcPr>
            <w:tcW w:w="35" w:type="dxa"/>
            <w:tcBorders>
              <w:top w:val="nil"/>
              <w:left w:val="nil"/>
              <w:bottom w:val="single" w:color="auto" w:sz="8" w:space="0"/>
              <w:right w:val="single" w:color="auto" w:sz="8" w:space="0"/>
            </w:tcBorders>
            <w:vAlign w:val="center"/>
          </w:tcPr>
          <w:p w14:paraId="36DE4FD6">
            <w:pPr>
              <w:spacing w:line="360" w:lineRule="exact"/>
              <w:jc w:val="left"/>
              <w:rPr>
                <w:sz w:val="18"/>
                <w:szCs w:val="18"/>
              </w:rPr>
            </w:pPr>
          </w:p>
        </w:tc>
      </w:tr>
      <w:tr w14:paraId="18534908">
        <w:tblPrEx>
          <w:tblCellMar>
            <w:top w:w="0" w:type="dxa"/>
            <w:left w:w="0" w:type="dxa"/>
            <w:bottom w:w="0" w:type="dxa"/>
            <w:right w:w="0" w:type="dxa"/>
          </w:tblCellMar>
        </w:tblPrEx>
        <w:trPr>
          <w:trHeight w:val="314" w:hRule="atLeast"/>
          <w:jc w:val="center"/>
        </w:trPr>
        <w:tc>
          <w:tcPr>
            <w:tcW w:w="9364" w:type="dxa"/>
            <w:gridSpan w:val="4"/>
            <w:tcBorders>
              <w:top w:val="single" w:color="auto" w:sz="8" w:space="0"/>
              <w:left w:val="single" w:color="auto" w:sz="8" w:space="0"/>
              <w:bottom w:val="single" w:color="auto" w:sz="8" w:space="0"/>
              <w:right w:val="single" w:color="auto" w:sz="8" w:space="0"/>
            </w:tcBorders>
            <w:tcMar>
              <w:top w:w="97" w:type="dxa"/>
              <w:left w:w="0" w:type="dxa"/>
              <w:bottom w:w="0" w:type="dxa"/>
              <w:right w:w="27" w:type="dxa"/>
            </w:tcMar>
            <w:vAlign w:val="center"/>
          </w:tcPr>
          <w:p w14:paraId="473919B6">
            <w:pPr>
              <w:pStyle w:val="90"/>
              <w:numPr>
                <w:ilvl w:val="0"/>
                <w:numId w:val="10"/>
              </w:numPr>
              <w:rPr>
                <w:rFonts w:ascii="Times New Roman" w:hAnsi="Times New Roman"/>
              </w:rPr>
            </w:pPr>
            <w:r>
              <w:rPr>
                <w:rFonts w:ascii="Times New Roman" w:hAnsi="Times New Roman"/>
              </w:rPr>
              <w:t>如果在参考温度以外的温度（包括允许公差）下进行试验，则应通过应用电能表的适当温度系数对结果进行修正。</w:t>
            </w:r>
          </w:p>
          <w:p w14:paraId="749C39AC">
            <w:pPr>
              <w:pStyle w:val="90"/>
              <w:rPr>
                <w:rFonts w:ascii="Times New Roman" w:hAnsi="Times New Roman"/>
              </w:rPr>
            </w:pPr>
            <w:r>
              <w:rPr>
                <w:rFonts w:ascii="Times New Roman" w:hAnsi="Times New Roman"/>
              </w:rPr>
              <w:t>应没有霜、露、冷凝水、雨等存在。</w:t>
            </w:r>
          </w:p>
          <w:p w14:paraId="285D8488">
            <w:pPr>
              <w:numPr>
                <w:ilvl w:val="0"/>
                <w:numId w:val="11"/>
              </w:numPr>
              <w:autoSpaceDE w:val="0"/>
              <w:autoSpaceDN w:val="0"/>
              <w:adjustRightInd w:val="0"/>
              <w:ind w:hanging="379"/>
              <w:rPr>
                <w:kern w:val="0"/>
                <w:sz w:val="18"/>
                <w:szCs w:val="18"/>
              </w:rPr>
            </w:pPr>
            <w:r>
              <w:rPr>
                <w:kern w:val="0"/>
                <w:sz w:val="18"/>
                <w:szCs w:val="18"/>
              </w:rPr>
              <w:t>电流不被视为影响量，参比条件中也未包含其值，当影响量在其参考值下时，电能表电能准确度与变化的负载电流有关。</w:t>
            </w:r>
          </w:p>
          <w:p w14:paraId="26B2116D">
            <w:pPr>
              <w:numPr>
                <w:ilvl w:val="0"/>
                <w:numId w:val="11"/>
              </w:numPr>
              <w:autoSpaceDE w:val="0"/>
              <w:autoSpaceDN w:val="0"/>
              <w:adjustRightInd w:val="0"/>
              <w:ind w:left="874"/>
            </w:pPr>
            <w:r>
              <w:rPr>
                <w:kern w:val="0"/>
                <w:sz w:val="18"/>
                <w:szCs w:val="18"/>
              </w:rPr>
              <w:t>电能表如有多个标称电压或标称电压范围，则误差试验应至少在各标称电压值或标称电压范围的上下限值进行测量。</w:t>
            </w:r>
          </w:p>
        </w:tc>
      </w:tr>
    </w:tbl>
    <w:p w14:paraId="56E6B804"/>
    <w:p w14:paraId="6C2E6344">
      <w:pPr>
        <w:pStyle w:val="43"/>
        <w:numPr>
          <w:ilvl w:val="0"/>
          <w:numId w:val="0"/>
        </w:numPr>
        <w:spacing w:line="360" w:lineRule="auto"/>
        <w:rPr>
          <w:rFonts w:eastAsia="宋体" w:cs="Times New Roman"/>
        </w:rPr>
      </w:pPr>
      <w:r>
        <w:rPr>
          <w:rFonts w:eastAsia="宋体" w:cs="Times New Roman"/>
        </w:rPr>
        <w:t>7.2.2</w:t>
      </w:r>
      <w:r>
        <w:rPr>
          <w:rFonts w:hint="eastAsia" w:eastAsia="宋体" w:cs="Times New Roman"/>
        </w:rPr>
        <w:t xml:space="preserve">  </w:t>
      </w:r>
      <w:r>
        <w:rPr>
          <w:rFonts w:eastAsia="宋体" w:cs="Times New Roman"/>
        </w:rPr>
        <w:t>计量标准器及主要配套设备</w:t>
      </w:r>
    </w:p>
    <w:p w14:paraId="6FBD66EC">
      <w:pPr>
        <w:spacing w:line="360" w:lineRule="auto"/>
        <w:outlineLvl w:val="3"/>
        <w:rPr>
          <w:sz w:val="24"/>
          <w:szCs w:val="24"/>
        </w:rPr>
      </w:pPr>
      <w:r>
        <w:rPr>
          <w:sz w:val="24"/>
          <w:szCs w:val="24"/>
        </w:rPr>
        <w:t>7.2.2.1</w:t>
      </w:r>
      <w:r>
        <w:rPr>
          <w:rFonts w:hint="eastAsia"/>
          <w:sz w:val="24"/>
          <w:szCs w:val="24"/>
        </w:rPr>
        <w:t xml:space="preserve">  直流电能表</w:t>
      </w:r>
      <w:r>
        <w:rPr>
          <w:sz w:val="24"/>
          <w:szCs w:val="24"/>
        </w:rPr>
        <w:t>检定装置</w:t>
      </w:r>
    </w:p>
    <w:p w14:paraId="6D18FB6D">
      <w:pPr>
        <w:snapToGrid w:val="0"/>
        <w:spacing w:line="360" w:lineRule="auto"/>
        <w:ind w:firstLine="480" w:firstLineChars="200"/>
        <w:jc w:val="left"/>
        <w:rPr>
          <w:sz w:val="24"/>
          <w:szCs w:val="24"/>
        </w:rPr>
      </w:pPr>
      <w:r>
        <w:rPr>
          <w:rFonts w:hint="eastAsia"/>
          <w:sz w:val="24"/>
          <w:szCs w:val="24"/>
        </w:rPr>
        <w:t>检定直流电能表时，装置的测量量程应覆盖表 9 的范围。电能表检定装置的准确度等级应不低于表 7 规定等级，其技术指标应满足 JJG 1186 - 2022 对相应等级电能表检定装置的要求。</w:t>
      </w:r>
    </w:p>
    <w:p w14:paraId="41EEBFA5">
      <w:pPr>
        <w:ind w:firstLine="3066" w:firstLineChars="1460"/>
        <w:rPr>
          <w:rFonts w:ascii="黑体" w:eastAsia="黑体"/>
          <w:b/>
          <w:szCs w:val="21"/>
        </w:rPr>
      </w:pPr>
      <w:r>
        <w:rPr>
          <w:rFonts w:hint="eastAsia" w:ascii="黑体" w:eastAsia="黑体"/>
          <w:b/>
          <w:szCs w:val="21"/>
        </w:rPr>
        <w:t>表</w:t>
      </w:r>
      <w:r>
        <w:rPr>
          <w:rFonts w:hint="eastAsia" w:eastAsia="黑体"/>
          <w:b/>
          <w:szCs w:val="21"/>
        </w:rPr>
        <w:t>7</w:t>
      </w:r>
      <w:r>
        <w:rPr>
          <w:rFonts w:hint="eastAsia" w:ascii="黑体" w:eastAsia="黑体"/>
          <w:b/>
          <w:szCs w:val="21"/>
        </w:rPr>
        <w:t xml:space="preserve">  检定装置的准确度等级</w:t>
      </w:r>
    </w:p>
    <w:tbl>
      <w:tblPr>
        <w:tblStyle w:val="33"/>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206"/>
        <w:gridCol w:w="2515"/>
        <w:gridCol w:w="2073"/>
        <w:gridCol w:w="1776"/>
      </w:tblGrid>
      <w:tr w14:paraId="25B2EB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675" w:type="pct"/>
            <w:vAlign w:val="center"/>
          </w:tcPr>
          <w:p w14:paraId="7F3B0683">
            <w:pPr>
              <w:rPr>
                <w:rFonts w:hint="eastAsia" w:ascii="宋体" w:hAnsi="宋体"/>
                <w:szCs w:val="21"/>
              </w:rPr>
            </w:pPr>
            <w:r>
              <w:rPr>
                <w:rFonts w:hint="eastAsia" w:ascii="宋体" w:hAnsi="宋体"/>
                <w:szCs w:val="21"/>
              </w:rPr>
              <w:t>被检表准确度等级</w:t>
            </w:r>
          </w:p>
        </w:tc>
        <w:tc>
          <w:tcPr>
            <w:tcW w:w="1314" w:type="pct"/>
            <w:vAlign w:val="center"/>
          </w:tcPr>
          <w:p w14:paraId="1675CD2C">
            <w:pPr>
              <w:jc w:val="center"/>
              <w:rPr>
                <w:szCs w:val="21"/>
              </w:rPr>
            </w:pPr>
            <w:r>
              <w:rPr>
                <w:szCs w:val="21"/>
              </w:rPr>
              <w:t>0.2</w:t>
            </w:r>
            <w:r>
              <w:rPr>
                <w:rFonts w:hint="eastAsia"/>
                <w:szCs w:val="21"/>
              </w:rPr>
              <w:t>级</w:t>
            </w:r>
          </w:p>
        </w:tc>
        <w:tc>
          <w:tcPr>
            <w:tcW w:w="1083" w:type="pct"/>
            <w:vAlign w:val="center"/>
          </w:tcPr>
          <w:p w14:paraId="404CD4F2">
            <w:pPr>
              <w:jc w:val="center"/>
              <w:rPr>
                <w:szCs w:val="21"/>
              </w:rPr>
            </w:pPr>
            <w:r>
              <w:rPr>
                <w:szCs w:val="21"/>
              </w:rPr>
              <w:t>0.5</w:t>
            </w:r>
            <w:r>
              <w:rPr>
                <w:rFonts w:hint="eastAsia"/>
                <w:szCs w:val="21"/>
              </w:rPr>
              <w:t>级</w:t>
            </w:r>
          </w:p>
        </w:tc>
        <w:tc>
          <w:tcPr>
            <w:tcW w:w="928" w:type="pct"/>
            <w:vAlign w:val="center"/>
          </w:tcPr>
          <w:p w14:paraId="5E921816">
            <w:pPr>
              <w:jc w:val="center"/>
              <w:rPr>
                <w:spacing w:val="-20"/>
                <w:szCs w:val="21"/>
              </w:rPr>
            </w:pPr>
            <w:r>
              <w:rPr>
                <w:spacing w:val="-20"/>
                <w:szCs w:val="21"/>
              </w:rPr>
              <w:t>1</w:t>
            </w:r>
            <w:r>
              <w:rPr>
                <w:rFonts w:hint="eastAsia"/>
                <w:spacing w:val="-20"/>
                <w:szCs w:val="21"/>
              </w:rPr>
              <w:t>级</w:t>
            </w:r>
          </w:p>
        </w:tc>
      </w:tr>
      <w:tr w14:paraId="735550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675" w:type="pct"/>
            <w:vAlign w:val="center"/>
          </w:tcPr>
          <w:p w14:paraId="5C002E83">
            <w:pPr>
              <w:rPr>
                <w:rFonts w:hint="eastAsia" w:ascii="宋体" w:hAnsi="宋体"/>
                <w:szCs w:val="21"/>
              </w:rPr>
            </w:pPr>
            <w:r>
              <w:rPr>
                <w:rFonts w:hint="eastAsia" w:ascii="宋体" w:hAnsi="宋体"/>
                <w:szCs w:val="21"/>
              </w:rPr>
              <w:t>检定装置准确度等级</w:t>
            </w:r>
          </w:p>
        </w:tc>
        <w:tc>
          <w:tcPr>
            <w:tcW w:w="1314" w:type="pct"/>
            <w:vAlign w:val="center"/>
          </w:tcPr>
          <w:p w14:paraId="0E054237">
            <w:pPr>
              <w:jc w:val="center"/>
              <w:rPr>
                <w:szCs w:val="21"/>
              </w:rPr>
            </w:pPr>
            <w:r>
              <w:rPr>
                <w:szCs w:val="21"/>
              </w:rPr>
              <w:t>0.05</w:t>
            </w:r>
          </w:p>
        </w:tc>
        <w:tc>
          <w:tcPr>
            <w:tcW w:w="1083" w:type="pct"/>
            <w:vAlign w:val="center"/>
          </w:tcPr>
          <w:p w14:paraId="7AC9FDA9">
            <w:pPr>
              <w:jc w:val="center"/>
              <w:rPr>
                <w:szCs w:val="21"/>
              </w:rPr>
            </w:pPr>
            <w:r>
              <w:rPr>
                <w:szCs w:val="21"/>
              </w:rPr>
              <w:t>0.1</w:t>
            </w:r>
          </w:p>
        </w:tc>
        <w:tc>
          <w:tcPr>
            <w:tcW w:w="928" w:type="pct"/>
            <w:vAlign w:val="center"/>
          </w:tcPr>
          <w:p w14:paraId="321539C0">
            <w:pPr>
              <w:jc w:val="center"/>
              <w:rPr>
                <w:szCs w:val="21"/>
              </w:rPr>
            </w:pPr>
            <w:r>
              <w:rPr>
                <w:szCs w:val="21"/>
              </w:rPr>
              <w:t>0.2</w:t>
            </w:r>
          </w:p>
        </w:tc>
      </w:tr>
    </w:tbl>
    <w:p w14:paraId="7806CFFF">
      <w:pPr>
        <w:rPr>
          <w:rFonts w:ascii="黑体" w:eastAsia="黑体"/>
          <w:b/>
          <w:szCs w:val="21"/>
        </w:rPr>
      </w:pPr>
    </w:p>
    <w:p w14:paraId="3672DB50">
      <w:pPr>
        <w:snapToGrid w:val="0"/>
        <w:spacing w:line="360" w:lineRule="auto"/>
        <w:ind w:firstLine="465"/>
        <w:jc w:val="left"/>
        <w:rPr>
          <w:sz w:val="24"/>
          <w:szCs w:val="24"/>
        </w:rPr>
      </w:pPr>
      <w:r>
        <w:rPr>
          <w:rFonts w:hint="eastAsia"/>
          <w:sz w:val="24"/>
          <w:szCs w:val="24"/>
        </w:rPr>
        <w:t xml:space="preserve">起动试验时，起动电流 </w:t>
      </w:r>
      <w:r>
        <w:rPr>
          <w:rFonts w:hint="eastAsia"/>
          <w:i/>
          <w:iCs/>
          <w:sz w:val="24"/>
          <w:szCs w:val="24"/>
        </w:rPr>
        <w:t>I</w:t>
      </w:r>
      <w:r>
        <w:rPr>
          <w:rFonts w:hint="eastAsia"/>
          <w:sz w:val="24"/>
          <w:szCs w:val="24"/>
          <w:vertAlign w:val="subscript"/>
        </w:rPr>
        <w:t>st</w:t>
      </w:r>
      <w:r>
        <w:rPr>
          <w:rFonts w:hint="eastAsia"/>
          <w:sz w:val="24"/>
          <w:szCs w:val="24"/>
        </w:rPr>
        <w:t xml:space="preserve"> 应在电能表检定装置的规定的起动电流测量范围内，对应于相应的起动功率，其电能相对误差值的测量不确定度应小于表 1 中对应的最大允许误差值的 1/3。</w:t>
      </w:r>
    </w:p>
    <w:p w14:paraId="2BD22215">
      <w:pPr>
        <w:pStyle w:val="5"/>
        <w:numPr>
          <w:ilvl w:val="0"/>
          <w:numId w:val="0"/>
        </w:numPr>
        <w:spacing w:before="0" w:after="0" w:line="377" w:lineRule="auto"/>
        <w:rPr>
          <w:rFonts w:ascii="Times New Roman" w:hAnsi="Times New Roman" w:eastAsia="宋体"/>
        </w:rPr>
      </w:pPr>
      <w:r>
        <w:rPr>
          <w:rFonts w:ascii="Times New Roman" w:hAnsi="Times New Roman" w:eastAsia="宋体"/>
        </w:rPr>
        <w:t xml:space="preserve">7.2.2.2 </w:t>
      </w:r>
      <w:r>
        <w:rPr>
          <w:rFonts w:hint="eastAsia" w:ascii="Times New Roman" w:hAnsi="Times New Roman" w:eastAsia="宋体"/>
        </w:rPr>
        <w:t xml:space="preserve"> </w:t>
      </w:r>
      <w:r>
        <w:rPr>
          <w:rFonts w:ascii="Times New Roman" w:hAnsi="Times New Roman" w:eastAsia="宋体"/>
        </w:rPr>
        <w:t>标准时钟测试仪</w:t>
      </w:r>
    </w:p>
    <w:p w14:paraId="57A2C1C1">
      <w:pPr>
        <w:snapToGrid w:val="0"/>
        <w:spacing w:line="360" w:lineRule="auto"/>
        <w:ind w:firstLine="480" w:firstLineChars="200"/>
        <w:jc w:val="left"/>
        <w:rPr>
          <w:sz w:val="24"/>
          <w:szCs w:val="24"/>
        </w:rPr>
      </w:pPr>
      <w:r>
        <w:rPr>
          <w:rFonts w:hint="eastAsia"/>
          <w:sz w:val="24"/>
          <w:szCs w:val="24"/>
        </w:rPr>
        <w:t>标准时钟（时刻）显示的时间与标准时间（时刻）的差不应超过±1s。</w:t>
      </w:r>
    </w:p>
    <w:p w14:paraId="095B1D7E">
      <w:pPr>
        <w:snapToGrid w:val="0"/>
        <w:spacing w:line="360" w:lineRule="auto"/>
        <w:ind w:firstLine="480" w:firstLineChars="200"/>
        <w:jc w:val="left"/>
        <w:rPr>
          <w:sz w:val="24"/>
          <w:szCs w:val="24"/>
        </w:rPr>
      </w:pPr>
      <w:r>
        <w:rPr>
          <w:sz w:val="24"/>
          <w:szCs w:val="24"/>
        </w:rPr>
        <w:t>检定电能表内部时钟的标准时钟测试仪在7.2.1规定的参比条件下，日计时误差限为±0.05</w:t>
      </w:r>
      <w:r>
        <w:rPr>
          <w:rFonts w:hint="eastAsia"/>
          <w:sz w:val="24"/>
          <w:szCs w:val="24"/>
        </w:rPr>
        <w:t xml:space="preserve"> </w:t>
      </w:r>
      <w:r>
        <w:rPr>
          <w:sz w:val="24"/>
          <w:szCs w:val="24"/>
        </w:rPr>
        <w:t>s/d。</w:t>
      </w:r>
    </w:p>
    <w:p w14:paraId="10EB2943">
      <w:pPr>
        <w:pStyle w:val="5"/>
        <w:numPr>
          <w:ilvl w:val="0"/>
          <w:numId w:val="0"/>
        </w:numPr>
        <w:snapToGrid w:val="0"/>
        <w:spacing w:before="0" w:after="0" w:line="360" w:lineRule="auto"/>
        <w:rPr>
          <w:rFonts w:ascii="Times New Roman" w:hAnsi="Times New Roman" w:eastAsia="宋体"/>
        </w:rPr>
      </w:pPr>
      <w:r>
        <w:rPr>
          <w:rFonts w:ascii="Times New Roman" w:hAnsi="Times New Roman" w:eastAsia="宋体"/>
        </w:rPr>
        <w:t>7.2.2.3直流电压试验仪（装置）</w:t>
      </w:r>
    </w:p>
    <w:p w14:paraId="5F23897D">
      <w:pPr>
        <w:snapToGrid w:val="0"/>
        <w:spacing w:line="360" w:lineRule="auto"/>
        <w:ind w:firstLine="480" w:firstLineChars="200"/>
        <w:jc w:val="left"/>
        <w:rPr>
          <w:sz w:val="24"/>
          <w:szCs w:val="24"/>
        </w:rPr>
      </w:pPr>
      <w:r>
        <w:rPr>
          <w:sz w:val="24"/>
          <w:szCs w:val="24"/>
        </w:rPr>
        <w:t>试验仪输出的测试电压应为直流电压，其纹波系数不超过 3 %，输出的电压值其误差限不超过±3%。</w:t>
      </w:r>
    </w:p>
    <w:p w14:paraId="423DBD5C">
      <w:pPr>
        <w:pStyle w:val="3"/>
        <w:rPr>
          <w:rFonts w:ascii="Times New Roman" w:hAnsi="Times New Roman"/>
        </w:rPr>
      </w:pPr>
      <w:bookmarkStart w:id="58" w:name="_Toc209090351"/>
      <w:r>
        <w:rPr>
          <w:rFonts w:ascii="Times New Roman" w:hAnsi="Times New Roman"/>
        </w:rPr>
        <w:t>7.3</w:t>
      </w:r>
      <w:r>
        <w:rPr>
          <w:rFonts w:hint="eastAsia" w:ascii="Times New Roman" w:hAnsi="Times New Roman"/>
        </w:rPr>
        <w:t xml:space="preserve">  </w:t>
      </w:r>
      <w:r>
        <w:rPr>
          <w:rFonts w:ascii="Times New Roman" w:hAnsi="Times New Roman"/>
        </w:rPr>
        <w:t>检定项目</w:t>
      </w:r>
      <w:bookmarkEnd w:id="58"/>
      <w:r>
        <w:rPr>
          <w:rFonts w:ascii="Times New Roman" w:hAnsi="Times New Roman"/>
        </w:rPr>
        <w:t xml:space="preserve"> </w:t>
      </w:r>
    </w:p>
    <w:p w14:paraId="559643F1">
      <w:pPr>
        <w:jc w:val="center"/>
        <w:rPr>
          <w:rFonts w:hint="eastAsia" w:ascii="黑体" w:hAnsi="宋体" w:eastAsia="黑体"/>
          <w:b/>
          <w:szCs w:val="21"/>
        </w:rPr>
      </w:pPr>
      <w:r>
        <w:rPr>
          <w:rFonts w:hint="eastAsia" w:ascii="黑体" w:eastAsia="黑体"/>
          <w:b/>
          <w:szCs w:val="21"/>
        </w:rPr>
        <w:t>表</w:t>
      </w:r>
      <w:r>
        <w:rPr>
          <w:rFonts w:hint="eastAsia" w:eastAsia="黑体"/>
          <w:b/>
          <w:szCs w:val="21"/>
        </w:rPr>
        <w:t>8</w:t>
      </w:r>
      <w:r>
        <w:rPr>
          <w:rFonts w:hint="eastAsia" w:ascii="黑体" w:eastAsia="黑体"/>
          <w:b/>
          <w:szCs w:val="21"/>
        </w:rPr>
        <w:t xml:space="preserve">  </w:t>
      </w:r>
      <w:r>
        <w:rPr>
          <w:rFonts w:hint="eastAsia" w:ascii="黑体" w:hAnsi="宋体" w:eastAsia="黑体"/>
          <w:b/>
          <w:szCs w:val="21"/>
        </w:rPr>
        <w:t>检定项目一览表</w:t>
      </w:r>
    </w:p>
    <w:tbl>
      <w:tblPr>
        <w:tblStyle w:val="33"/>
        <w:tblW w:w="922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387"/>
        <w:gridCol w:w="1985"/>
        <w:gridCol w:w="2126"/>
        <w:gridCol w:w="1729"/>
      </w:tblGrid>
      <w:tr w14:paraId="0ADA2F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387" w:type="dxa"/>
            <w:vAlign w:val="center"/>
          </w:tcPr>
          <w:p w14:paraId="00B9665F">
            <w:pPr>
              <w:jc w:val="center"/>
              <w:rPr>
                <w:szCs w:val="21"/>
              </w:rPr>
            </w:pPr>
            <w:r>
              <w:rPr>
                <w:szCs w:val="21"/>
              </w:rPr>
              <w:t>检定项目</w:t>
            </w:r>
          </w:p>
        </w:tc>
        <w:tc>
          <w:tcPr>
            <w:tcW w:w="1985" w:type="dxa"/>
            <w:vAlign w:val="center"/>
          </w:tcPr>
          <w:p w14:paraId="6398FA9D">
            <w:pPr>
              <w:jc w:val="center"/>
              <w:rPr>
                <w:szCs w:val="21"/>
              </w:rPr>
            </w:pPr>
            <w:r>
              <w:rPr>
                <w:szCs w:val="21"/>
              </w:rPr>
              <w:t>首次检定</w:t>
            </w:r>
            <w:r>
              <w:rPr>
                <w:rFonts w:hint="eastAsia" w:ascii="宋体" w:hAnsi="宋体" w:cs="宋体"/>
                <w:vertAlign w:val="superscript"/>
              </w:rPr>
              <w:t>②</w:t>
            </w:r>
          </w:p>
        </w:tc>
        <w:tc>
          <w:tcPr>
            <w:tcW w:w="2126" w:type="dxa"/>
            <w:vAlign w:val="center"/>
          </w:tcPr>
          <w:p w14:paraId="7ED34A66">
            <w:pPr>
              <w:jc w:val="center"/>
              <w:rPr>
                <w:szCs w:val="21"/>
              </w:rPr>
            </w:pPr>
            <w:r>
              <w:rPr>
                <w:szCs w:val="21"/>
              </w:rPr>
              <w:t>后续检定</w:t>
            </w:r>
            <w:r>
              <w:rPr>
                <w:rFonts w:hint="eastAsia" w:ascii="宋体" w:hAnsi="宋体" w:cs="宋体"/>
                <w:vertAlign w:val="superscript"/>
              </w:rPr>
              <w:t>②</w:t>
            </w:r>
          </w:p>
        </w:tc>
        <w:tc>
          <w:tcPr>
            <w:tcW w:w="1729" w:type="dxa"/>
            <w:vAlign w:val="center"/>
          </w:tcPr>
          <w:p w14:paraId="4E0A2CFF">
            <w:pPr>
              <w:jc w:val="center"/>
              <w:rPr>
                <w:szCs w:val="21"/>
              </w:rPr>
            </w:pPr>
            <w:r>
              <w:rPr>
                <w:rFonts w:hint="eastAsia"/>
                <w:szCs w:val="21"/>
              </w:rPr>
              <w:t>使用中检查</w:t>
            </w:r>
          </w:p>
        </w:tc>
      </w:tr>
      <w:tr w14:paraId="1B59A6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387" w:type="dxa"/>
            <w:vAlign w:val="center"/>
          </w:tcPr>
          <w:p w14:paraId="6F6C8CB4">
            <w:pPr>
              <w:jc w:val="center"/>
              <w:rPr>
                <w:szCs w:val="21"/>
              </w:rPr>
            </w:pPr>
            <w:r>
              <w:rPr>
                <w:szCs w:val="21"/>
              </w:rPr>
              <w:t>外观检查</w:t>
            </w:r>
          </w:p>
        </w:tc>
        <w:tc>
          <w:tcPr>
            <w:tcW w:w="1985" w:type="dxa"/>
            <w:vAlign w:val="center"/>
          </w:tcPr>
          <w:p w14:paraId="325EC2C9">
            <w:pPr>
              <w:jc w:val="center"/>
              <w:rPr>
                <w:szCs w:val="21"/>
              </w:rPr>
            </w:pPr>
            <w:r>
              <w:rPr>
                <w:szCs w:val="21"/>
              </w:rPr>
              <w:t>+</w:t>
            </w:r>
          </w:p>
        </w:tc>
        <w:tc>
          <w:tcPr>
            <w:tcW w:w="2126" w:type="dxa"/>
            <w:vAlign w:val="center"/>
          </w:tcPr>
          <w:p w14:paraId="78637A59">
            <w:pPr>
              <w:jc w:val="center"/>
              <w:rPr>
                <w:szCs w:val="21"/>
              </w:rPr>
            </w:pPr>
            <w:r>
              <w:rPr>
                <w:szCs w:val="21"/>
              </w:rPr>
              <w:t>+</w:t>
            </w:r>
          </w:p>
        </w:tc>
        <w:tc>
          <w:tcPr>
            <w:tcW w:w="1729" w:type="dxa"/>
            <w:vAlign w:val="center"/>
          </w:tcPr>
          <w:p w14:paraId="2144DF3C">
            <w:pPr>
              <w:jc w:val="center"/>
              <w:rPr>
                <w:szCs w:val="21"/>
              </w:rPr>
            </w:pPr>
            <w:r>
              <w:rPr>
                <w:rFonts w:hint="eastAsia"/>
                <w:szCs w:val="21"/>
              </w:rPr>
              <w:t>+</w:t>
            </w:r>
          </w:p>
        </w:tc>
      </w:tr>
      <w:tr w14:paraId="15D99D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387" w:type="dxa"/>
            <w:vAlign w:val="center"/>
          </w:tcPr>
          <w:p w14:paraId="595B84D3">
            <w:pPr>
              <w:jc w:val="center"/>
              <w:rPr>
                <w:szCs w:val="21"/>
              </w:rPr>
            </w:pPr>
            <w:r>
              <w:rPr>
                <w:rFonts w:hint="eastAsia"/>
                <w:szCs w:val="21"/>
              </w:rPr>
              <w:t>直流</w:t>
            </w:r>
            <w:r>
              <w:rPr>
                <w:szCs w:val="21"/>
              </w:rPr>
              <w:t>电压试验</w:t>
            </w:r>
          </w:p>
        </w:tc>
        <w:tc>
          <w:tcPr>
            <w:tcW w:w="1985" w:type="dxa"/>
            <w:vAlign w:val="center"/>
          </w:tcPr>
          <w:p w14:paraId="27036DEB">
            <w:pPr>
              <w:jc w:val="center"/>
              <w:rPr>
                <w:szCs w:val="21"/>
              </w:rPr>
            </w:pPr>
            <w:r>
              <w:rPr>
                <w:szCs w:val="21"/>
              </w:rPr>
              <w:t>+</w:t>
            </w:r>
          </w:p>
        </w:tc>
        <w:tc>
          <w:tcPr>
            <w:tcW w:w="2126" w:type="dxa"/>
            <w:vAlign w:val="center"/>
          </w:tcPr>
          <w:p w14:paraId="499C8CFD">
            <w:pPr>
              <w:jc w:val="center"/>
              <w:rPr>
                <w:szCs w:val="21"/>
              </w:rPr>
            </w:pPr>
            <w:r>
              <w:rPr>
                <w:szCs w:val="21"/>
              </w:rPr>
              <w:t>-</w:t>
            </w:r>
          </w:p>
        </w:tc>
        <w:tc>
          <w:tcPr>
            <w:tcW w:w="1729" w:type="dxa"/>
            <w:vAlign w:val="center"/>
          </w:tcPr>
          <w:p w14:paraId="67430F14">
            <w:pPr>
              <w:jc w:val="center"/>
              <w:rPr>
                <w:szCs w:val="21"/>
              </w:rPr>
            </w:pPr>
            <w:r>
              <w:rPr>
                <w:rFonts w:hint="eastAsia"/>
                <w:szCs w:val="21"/>
              </w:rPr>
              <w:t>-</w:t>
            </w:r>
          </w:p>
        </w:tc>
      </w:tr>
      <w:tr w14:paraId="2B4F43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387" w:type="dxa"/>
            <w:vAlign w:val="center"/>
          </w:tcPr>
          <w:p w14:paraId="5884BDEA">
            <w:pPr>
              <w:jc w:val="center"/>
              <w:rPr>
                <w:szCs w:val="21"/>
              </w:rPr>
            </w:pPr>
            <w:r>
              <w:rPr>
                <w:kern w:val="0"/>
                <w:szCs w:val="21"/>
              </w:rPr>
              <w:t>绝缘电阻试验</w:t>
            </w:r>
          </w:p>
        </w:tc>
        <w:tc>
          <w:tcPr>
            <w:tcW w:w="1985" w:type="dxa"/>
            <w:vAlign w:val="center"/>
          </w:tcPr>
          <w:p w14:paraId="77768F93">
            <w:pPr>
              <w:jc w:val="center"/>
              <w:rPr>
                <w:szCs w:val="21"/>
              </w:rPr>
            </w:pPr>
            <w:r>
              <w:rPr>
                <w:szCs w:val="21"/>
              </w:rPr>
              <w:t>+</w:t>
            </w:r>
          </w:p>
        </w:tc>
        <w:tc>
          <w:tcPr>
            <w:tcW w:w="2126" w:type="dxa"/>
            <w:vAlign w:val="center"/>
          </w:tcPr>
          <w:p w14:paraId="1A6EE4E1">
            <w:pPr>
              <w:jc w:val="center"/>
              <w:rPr>
                <w:szCs w:val="21"/>
              </w:rPr>
            </w:pPr>
            <w:r>
              <w:rPr>
                <w:szCs w:val="21"/>
              </w:rPr>
              <w:t>-</w:t>
            </w:r>
          </w:p>
        </w:tc>
        <w:tc>
          <w:tcPr>
            <w:tcW w:w="1729" w:type="dxa"/>
            <w:vAlign w:val="center"/>
          </w:tcPr>
          <w:p w14:paraId="00356A85">
            <w:pPr>
              <w:jc w:val="center"/>
              <w:rPr>
                <w:szCs w:val="21"/>
              </w:rPr>
            </w:pPr>
            <w:r>
              <w:rPr>
                <w:rFonts w:hint="eastAsia"/>
                <w:szCs w:val="21"/>
              </w:rPr>
              <w:t>-</w:t>
            </w:r>
          </w:p>
        </w:tc>
      </w:tr>
      <w:tr w14:paraId="0946D7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387" w:type="dxa"/>
            <w:vAlign w:val="center"/>
          </w:tcPr>
          <w:p w14:paraId="1ADFAB27">
            <w:pPr>
              <w:jc w:val="center"/>
              <w:rPr>
                <w:szCs w:val="21"/>
              </w:rPr>
            </w:pPr>
            <w:r>
              <w:rPr>
                <w:rFonts w:hint="eastAsia"/>
                <w:szCs w:val="21"/>
              </w:rPr>
              <w:t>无负载状态</w:t>
            </w:r>
            <w:r>
              <w:rPr>
                <w:szCs w:val="21"/>
              </w:rPr>
              <w:t>试验</w:t>
            </w:r>
          </w:p>
        </w:tc>
        <w:tc>
          <w:tcPr>
            <w:tcW w:w="1985" w:type="dxa"/>
            <w:vAlign w:val="center"/>
          </w:tcPr>
          <w:p w14:paraId="11B5C7B8">
            <w:pPr>
              <w:jc w:val="center"/>
              <w:rPr>
                <w:szCs w:val="21"/>
              </w:rPr>
            </w:pPr>
            <w:r>
              <w:rPr>
                <w:szCs w:val="21"/>
              </w:rPr>
              <w:t>+</w:t>
            </w:r>
          </w:p>
        </w:tc>
        <w:tc>
          <w:tcPr>
            <w:tcW w:w="2126" w:type="dxa"/>
            <w:vAlign w:val="center"/>
          </w:tcPr>
          <w:p w14:paraId="05BB9B70">
            <w:pPr>
              <w:jc w:val="center"/>
              <w:rPr>
                <w:szCs w:val="21"/>
              </w:rPr>
            </w:pPr>
            <w:r>
              <w:rPr>
                <w:szCs w:val="21"/>
              </w:rPr>
              <w:t>+</w:t>
            </w:r>
          </w:p>
        </w:tc>
        <w:tc>
          <w:tcPr>
            <w:tcW w:w="1729" w:type="dxa"/>
            <w:vAlign w:val="center"/>
          </w:tcPr>
          <w:p w14:paraId="6F9B5F50">
            <w:pPr>
              <w:jc w:val="center"/>
              <w:rPr>
                <w:szCs w:val="21"/>
              </w:rPr>
            </w:pPr>
            <w:r>
              <w:rPr>
                <w:rFonts w:hint="eastAsia"/>
                <w:szCs w:val="21"/>
              </w:rPr>
              <w:t>-</w:t>
            </w:r>
          </w:p>
        </w:tc>
      </w:tr>
      <w:tr w14:paraId="3065D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387" w:type="dxa"/>
            <w:vAlign w:val="center"/>
          </w:tcPr>
          <w:p w14:paraId="7DB3077E">
            <w:pPr>
              <w:jc w:val="center"/>
              <w:rPr>
                <w:szCs w:val="21"/>
              </w:rPr>
            </w:pPr>
            <w:r>
              <w:rPr>
                <w:szCs w:val="21"/>
              </w:rPr>
              <w:t>起动试验</w:t>
            </w:r>
          </w:p>
        </w:tc>
        <w:tc>
          <w:tcPr>
            <w:tcW w:w="1985" w:type="dxa"/>
            <w:vAlign w:val="center"/>
          </w:tcPr>
          <w:p w14:paraId="58336D93">
            <w:pPr>
              <w:jc w:val="center"/>
              <w:rPr>
                <w:szCs w:val="21"/>
              </w:rPr>
            </w:pPr>
            <w:r>
              <w:rPr>
                <w:szCs w:val="21"/>
              </w:rPr>
              <w:t>+</w:t>
            </w:r>
          </w:p>
        </w:tc>
        <w:tc>
          <w:tcPr>
            <w:tcW w:w="2126" w:type="dxa"/>
            <w:vAlign w:val="center"/>
          </w:tcPr>
          <w:p w14:paraId="47FF8388">
            <w:pPr>
              <w:jc w:val="center"/>
              <w:rPr>
                <w:szCs w:val="21"/>
              </w:rPr>
            </w:pPr>
            <w:r>
              <w:rPr>
                <w:szCs w:val="21"/>
              </w:rPr>
              <w:t>+</w:t>
            </w:r>
          </w:p>
        </w:tc>
        <w:tc>
          <w:tcPr>
            <w:tcW w:w="1729" w:type="dxa"/>
            <w:vAlign w:val="center"/>
          </w:tcPr>
          <w:p w14:paraId="02950CAC">
            <w:pPr>
              <w:jc w:val="center"/>
              <w:rPr>
                <w:szCs w:val="21"/>
              </w:rPr>
            </w:pPr>
            <w:r>
              <w:rPr>
                <w:rFonts w:hint="eastAsia"/>
                <w:szCs w:val="21"/>
              </w:rPr>
              <w:t>-</w:t>
            </w:r>
          </w:p>
        </w:tc>
      </w:tr>
      <w:tr w14:paraId="085210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387" w:type="dxa"/>
            <w:vAlign w:val="center"/>
          </w:tcPr>
          <w:p w14:paraId="4F0897FF">
            <w:pPr>
              <w:jc w:val="center"/>
              <w:rPr>
                <w:szCs w:val="21"/>
              </w:rPr>
            </w:pPr>
            <w:r>
              <w:rPr>
                <w:szCs w:val="21"/>
              </w:rPr>
              <w:t>基本误差</w:t>
            </w:r>
          </w:p>
        </w:tc>
        <w:tc>
          <w:tcPr>
            <w:tcW w:w="1985" w:type="dxa"/>
            <w:vAlign w:val="center"/>
          </w:tcPr>
          <w:p w14:paraId="17BBE7F5">
            <w:pPr>
              <w:jc w:val="center"/>
              <w:rPr>
                <w:szCs w:val="21"/>
              </w:rPr>
            </w:pPr>
            <w:r>
              <w:rPr>
                <w:szCs w:val="21"/>
              </w:rPr>
              <w:t>+</w:t>
            </w:r>
          </w:p>
        </w:tc>
        <w:tc>
          <w:tcPr>
            <w:tcW w:w="2126" w:type="dxa"/>
            <w:vAlign w:val="center"/>
          </w:tcPr>
          <w:p w14:paraId="1EBE5F13">
            <w:pPr>
              <w:jc w:val="center"/>
              <w:rPr>
                <w:szCs w:val="21"/>
              </w:rPr>
            </w:pPr>
            <w:r>
              <w:rPr>
                <w:szCs w:val="21"/>
              </w:rPr>
              <w:t>+</w:t>
            </w:r>
          </w:p>
        </w:tc>
        <w:tc>
          <w:tcPr>
            <w:tcW w:w="1729" w:type="dxa"/>
            <w:vAlign w:val="center"/>
          </w:tcPr>
          <w:p w14:paraId="58853049">
            <w:pPr>
              <w:jc w:val="center"/>
              <w:rPr>
                <w:szCs w:val="21"/>
              </w:rPr>
            </w:pPr>
            <w:r>
              <w:rPr>
                <w:rFonts w:hint="eastAsia"/>
                <w:szCs w:val="21"/>
              </w:rPr>
              <w:t>+</w:t>
            </w:r>
          </w:p>
        </w:tc>
      </w:tr>
      <w:tr w14:paraId="2212DF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387" w:type="dxa"/>
            <w:vAlign w:val="center"/>
          </w:tcPr>
          <w:p w14:paraId="4F5B6B74">
            <w:pPr>
              <w:jc w:val="center"/>
              <w:rPr>
                <w:szCs w:val="21"/>
              </w:rPr>
            </w:pPr>
            <w:r>
              <w:rPr>
                <w:szCs w:val="21"/>
              </w:rPr>
              <w:t>仪表常数试验</w:t>
            </w:r>
          </w:p>
        </w:tc>
        <w:tc>
          <w:tcPr>
            <w:tcW w:w="1985" w:type="dxa"/>
            <w:vAlign w:val="center"/>
          </w:tcPr>
          <w:p w14:paraId="013618F6">
            <w:pPr>
              <w:jc w:val="center"/>
              <w:rPr>
                <w:szCs w:val="21"/>
              </w:rPr>
            </w:pPr>
            <w:r>
              <w:rPr>
                <w:szCs w:val="21"/>
              </w:rPr>
              <w:t>+</w:t>
            </w:r>
          </w:p>
        </w:tc>
        <w:tc>
          <w:tcPr>
            <w:tcW w:w="2126" w:type="dxa"/>
            <w:vAlign w:val="center"/>
          </w:tcPr>
          <w:p w14:paraId="1368445A">
            <w:pPr>
              <w:jc w:val="center"/>
              <w:rPr>
                <w:szCs w:val="21"/>
              </w:rPr>
            </w:pPr>
            <w:r>
              <w:rPr>
                <w:szCs w:val="21"/>
              </w:rPr>
              <w:t>+</w:t>
            </w:r>
          </w:p>
        </w:tc>
        <w:tc>
          <w:tcPr>
            <w:tcW w:w="1729" w:type="dxa"/>
            <w:vAlign w:val="center"/>
          </w:tcPr>
          <w:p w14:paraId="5B7FE2F6">
            <w:pPr>
              <w:jc w:val="center"/>
              <w:rPr>
                <w:szCs w:val="21"/>
              </w:rPr>
            </w:pPr>
            <w:r>
              <w:rPr>
                <w:rFonts w:hint="eastAsia"/>
                <w:szCs w:val="21"/>
              </w:rPr>
              <w:t>-</w:t>
            </w:r>
          </w:p>
        </w:tc>
      </w:tr>
      <w:tr w14:paraId="077EFD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387" w:type="dxa"/>
            <w:vAlign w:val="center"/>
          </w:tcPr>
          <w:p w14:paraId="49247087">
            <w:pPr>
              <w:jc w:val="center"/>
              <w:rPr>
                <w:szCs w:val="21"/>
              </w:rPr>
            </w:pPr>
            <w:r>
              <w:rPr>
                <w:rFonts w:hint="eastAsia"/>
                <w:szCs w:val="21"/>
              </w:rPr>
              <w:t>时间（时刻）</w:t>
            </w:r>
            <w:r>
              <w:rPr>
                <w:szCs w:val="21"/>
              </w:rPr>
              <w:t>误差</w:t>
            </w:r>
            <w:r>
              <w:rPr>
                <w:rFonts w:hint="eastAsia" w:ascii="宋体" w:hAnsi="宋体" w:cs="宋体"/>
                <w:vertAlign w:val="superscript"/>
              </w:rPr>
              <w:t>①</w:t>
            </w:r>
          </w:p>
        </w:tc>
        <w:tc>
          <w:tcPr>
            <w:tcW w:w="1985" w:type="dxa"/>
            <w:vAlign w:val="center"/>
          </w:tcPr>
          <w:p w14:paraId="15FDD7CE">
            <w:pPr>
              <w:jc w:val="center"/>
              <w:rPr>
                <w:szCs w:val="21"/>
              </w:rPr>
            </w:pPr>
            <w:r>
              <w:rPr>
                <w:szCs w:val="21"/>
              </w:rPr>
              <w:t>+</w:t>
            </w:r>
          </w:p>
        </w:tc>
        <w:tc>
          <w:tcPr>
            <w:tcW w:w="2126" w:type="dxa"/>
            <w:vAlign w:val="center"/>
          </w:tcPr>
          <w:p w14:paraId="464CB315">
            <w:pPr>
              <w:jc w:val="center"/>
              <w:rPr>
                <w:szCs w:val="21"/>
              </w:rPr>
            </w:pPr>
            <w:r>
              <w:rPr>
                <w:szCs w:val="21"/>
              </w:rPr>
              <w:t>+</w:t>
            </w:r>
          </w:p>
        </w:tc>
        <w:tc>
          <w:tcPr>
            <w:tcW w:w="1729" w:type="dxa"/>
            <w:vAlign w:val="center"/>
          </w:tcPr>
          <w:p w14:paraId="3D386780">
            <w:pPr>
              <w:jc w:val="center"/>
              <w:rPr>
                <w:szCs w:val="21"/>
              </w:rPr>
            </w:pPr>
            <w:r>
              <w:rPr>
                <w:rFonts w:hint="eastAsia"/>
                <w:szCs w:val="21"/>
              </w:rPr>
              <w:t>+</w:t>
            </w:r>
          </w:p>
        </w:tc>
      </w:tr>
      <w:tr w14:paraId="5D96B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387" w:type="dxa"/>
            <w:vAlign w:val="center"/>
          </w:tcPr>
          <w:p w14:paraId="6F685428">
            <w:pPr>
              <w:jc w:val="center"/>
              <w:rPr>
                <w:szCs w:val="21"/>
              </w:rPr>
            </w:pPr>
            <w:r>
              <w:rPr>
                <w:rFonts w:hint="eastAsia"/>
                <w:szCs w:val="21"/>
              </w:rPr>
              <w:t>电能示值组合误差试验</w:t>
            </w:r>
            <w:r>
              <w:rPr>
                <w:rFonts w:hint="eastAsia" w:ascii="宋体" w:hAnsi="宋体"/>
                <w:szCs w:val="21"/>
                <w:vertAlign w:val="superscript"/>
              </w:rPr>
              <w:t>③</w:t>
            </w:r>
          </w:p>
        </w:tc>
        <w:tc>
          <w:tcPr>
            <w:tcW w:w="1985" w:type="dxa"/>
            <w:vAlign w:val="center"/>
          </w:tcPr>
          <w:p w14:paraId="10718283">
            <w:pPr>
              <w:jc w:val="center"/>
              <w:rPr>
                <w:szCs w:val="21"/>
              </w:rPr>
            </w:pPr>
            <w:r>
              <w:rPr>
                <w:szCs w:val="21"/>
              </w:rPr>
              <w:t>+</w:t>
            </w:r>
          </w:p>
        </w:tc>
        <w:tc>
          <w:tcPr>
            <w:tcW w:w="2126" w:type="dxa"/>
            <w:vAlign w:val="center"/>
          </w:tcPr>
          <w:p w14:paraId="6DA8985B">
            <w:pPr>
              <w:jc w:val="center"/>
              <w:rPr>
                <w:szCs w:val="21"/>
              </w:rPr>
            </w:pPr>
            <w:r>
              <w:rPr>
                <w:szCs w:val="21"/>
              </w:rPr>
              <w:t>+</w:t>
            </w:r>
          </w:p>
        </w:tc>
        <w:tc>
          <w:tcPr>
            <w:tcW w:w="1729" w:type="dxa"/>
            <w:vAlign w:val="center"/>
          </w:tcPr>
          <w:p w14:paraId="77E9C0CF">
            <w:pPr>
              <w:jc w:val="center"/>
              <w:rPr>
                <w:szCs w:val="21"/>
              </w:rPr>
            </w:pPr>
            <w:r>
              <w:rPr>
                <w:szCs w:val="21"/>
              </w:rPr>
              <w:t>+</w:t>
            </w:r>
          </w:p>
        </w:tc>
      </w:tr>
      <w:tr w14:paraId="6D328B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387" w:type="dxa"/>
            <w:vAlign w:val="center"/>
          </w:tcPr>
          <w:p w14:paraId="024EDD4C">
            <w:pPr>
              <w:jc w:val="center"/>
              <w:rPr>
                <w:szCs w:val="21"/>
              </w:rPr>
            </w:pPr>
            <w:r>
              <w:rPr>
                <w:rFonts w:hint="eastAsia"/>
                <w:szCs w:val="21"/>
              </w:rPr>
              <w:t>负载电流升降变差试验</w:t>
            </w:r>
          </w:p>
        </w:tc>
        <w:tc>
          <w:tcPr>
            <w:tcW w:w="1985" w:type="dxa"/>
            <w:vAlign w:val="center"/>
          </w:tcPr>
          <w:p w14:paraId="268C56F2">
            <w:pPr>
              <w:jc w:val="center"/>
              <w:rPr>
                <w:szCs w:val="21"/>
              </w:rPr>
            </w:pPr>
            <w:r>
              <w:rPr>
                <w:szCs w:val="21"/>
              </w:rPr>
              <w:t>+</w:t>
            </w:r>
          </w:p>
        </w:tc>
        <w:tc>
          <w:tcPr>
            <w:tcW w:w="2126" w:type="dxa"/>
            <w:vAlign w:val="center"/>
          </w:tcPr>
          <w:p w14:paraId="70F04D71">
            <w:pPr>
              <w:jc w:val="center"/>
              <w:rPr>
                <w:szCs w:val="21"/>
              </w:rPr>
            </w:pPr>
            <w:r>
              <w:rPr>
                <w:szCs w:val="21"/>
              </w:rPr>
              <w:t>+</w:t>
            </w:r>
          </w:p>
        </w:tc>
        <w:tc>
          <w:tcPr>
            <w:tcW w:w="1729" w:type="dxa"/>
            <w:vAlign w:val="center"/>
          </w:tcPr>
          <w:p w14:paraId="4DD7DC7D">
            <w:pPr>
              <w:jc w:val="center"/>
              <w:rPr>
                <w:szCs w:val="21"/>
              </w:rPr>
            </w:pPr>
            <w:r>
              <w:rPr>
                <w:rFonts w:hint="eastAsia"/>
                <w:szCs w:val="21"/>
              </w:rPr>
              <w:t>-</w:t>
            </w:r>
          </w:p>
        </w:tc>
      </w:tr>
      <w:tr w14:paraId="24C147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53" w:hRule="atLeast"/>
          <w:jc w:val="center"/>
        </w:trPr>
        <w:tc>
          <w:tcPr>
            <w:tcW w:w="9227" w:type="dxa"/>
            <w:gridSpan w:val="4"/>
            <w:vAlign w:val="center"/>
          </w:tcPr>
          <w:p w14:paraId="2DDA8A45">
            <w:pPr>
              <w:ind w:firstLine="420" w:firstLineChars="200"/>
              <w:rPr>
                <w:szCs w:val="21"/>
              </w:rPr>
            </w:pPr>
            <w:r>
              <w:rPr>
                <w:szCs w:val="21"/>
              </w:rPr>
              <w:t>注：</w:t>
            </w:r>
          </w:p>
          <w:p w14:paraId="2723EB4D">
            <w:pPr>
              <w:ind w:firstLine="420" w:firstLineChars="200"/>
              <w:rPr>
                <w:szCs w:val="21"/>
              </w:rPr>
            </w:pPr>
            <w:r>
              <w:rPr>
                <w:rFonts w:hint="eastAsia" w:ascii="宋体" w:hAnsi="宋体"/>
                <w:szCs w:val="21"/>
              </w:rPr>
              <w:t>①</w:t>
            </w:r>
            <w:r>
              <w:rPr>
                <w:szCs w:val="21"/>
              </w:rPr>
              <w:t>适用于表内具有计时功能的电能表。</w:t>
            </w:r>
          </w:p>
          <w:p w14:paraId="2A20AC7C">
            <w:pPr>
              <w:ind w:firstLine="420" w:firstLineChars="200"/>
              <w:rPr>
                <w:szCs w:val="21"/>
              </w:rPr>
            </w:pPr>
            <w:r>
              <w:rPr>
                <w:rFonts w:hint="eastAsia"/>
                <w:szCs w:val="21"/>
              </w:rPr>
              <w:t>②</w:t>
            </w:r>
            <w:r>
              <w:rPr>
                <w:szCs w:val="21"/>
              </w:rPr>
              <w:t>符号</w:t>
            </w:r>
            <w:r>
              <w:rPr>
                <w:rFonts w:hint="eastAsia"/>
                <w:szCs w:val="21"/>
              </w:rPr>
              <w:t>“</w:t>
            </w:r>
            <w:r>
              <w:rPr>
                <w:szCs w:val="21"/>
              </w:rPr>
              <w:t>+</w:t>
            </w:r>
            <w:r>
              <w:rPr>
                <w:rFonts w:hint="eastAsia"/>
                <w:szCs w:val="21"/>
              </w:rPr>
              <w:t>”</w:t>
            </w:r>
            <w:r>
              <w:rPr>
                <w:szCs w:val="21"/>
              </w:rPr>
              <w:t>表示需要检定，符号</w:t>
            </w:r>
            <w:r>
              <w:rPr>
                <w:rFonts w:hint="eastAsia"/>
                <w:szCs w:val="21"/>
              </w:rPr>
              <w:t>“</w:t>
            </w:r>
            <w:r>
              <w:rPr>
                <w:szCs w:val="21"/>
              </w:rPr>
              <w:t>-</w:t>
            </w:r>
            <w:r>
              <w:rPr>
                <w:rFonts w:hint="eastAsia"/>
                <w:szCs w:val="21"/>
              </w:rPr>
              <w:t>”</w:t>
            </w:r>
            <w:r>
              <w:rPr>
                <w:szCs w:val="21"/>
              </w:rPr>
              <w:t>表示不需要检定。</w:t>
            </w:r>
          </w:p>
          <w:p w14:paraId="2F09C46D">
            <w:pPr>
              <w:ind w:firstLine="420" w:firstLineChars="200"/>
              <w:rPr>
                <w:szCs w:val="21"/>
              </w:rPr>
            </w:pPr>
            <w:r>
              <w:rPr>
                <w:rFonts w:hint="eastAsia" w:ascii="宋体" w:hAnsi="宋体"/>
                <w:szCs w:val="21"/>
              </w:rPr>
              <w:t>③</w:t>
            </w:r>
            <w:r>
              <w:rPr>
                <w:rFonts w:hint="eastAsia"/>
                <w:szCs w:val="21"/>
              </w:rPr>
              <w:t>适用于具有分时计费（或多费率）功能的电能表</w:t>
            </w:r>
          </w:p>
        </w:tc>
      </w:tr>
    </w:tbl>
    <w:p w14:paraId="25EEC0F4">
      <w:pPr>
        <w:rPr>
          <w:szCs w:val="21"/>
        </w:rPr>
      </w:pPr>
    </w:p>
    <w:p w14:paraId="536D180C">
      <w:pPr>
        <w:pStyle w:val="3"/>
        <w:rPr>
          <w:rFonts w:ascii="Times New Roman" w:hAnsi="Times New Roman"/>
        </w:rPr>
      </w:pPr>
      <w:bookmarkStart w:id="59" w:name="_Toc209090352"/>
      <w:r>
        <w:rPr>
          <w:rFonts w:ascii="Times New Roman" w:hAnsi="Times New Roman"/>
        </w:rPr>
        <w:t>7.4</w:t>
      </w:r>
      <w:r>
        <w:rPr>
          <w:rFonts w:hint="eastAsia" w:ascii="Times New Roman" w:hAnsi="Times New Roman"/>
        </w:rPr>
        <w:t xml:space="preserve">  </w:t>
      </w:r>
      <w:r>
        <w:rPr>
          <w:rFonts w:ascii="Times New Roman" w:hAnsi="Times New Roman"/>
        </w:rPr>
        <w:t>检定方法</w:t>
      </w:r>
      <w:bookmarkEnd w:id="59"/>
    </w:p>
    <w:p w14:paraId="1B40622C">
      <w:pPr>
        <w:pStyle w:val="43"/>
        <w:numPr>
          <w:ilvl w:val="0"/>
          <w:numId w:val="0"/>
        </w:numPr>
        <w:spacing w:line="360" w:lineRule="auto"/>
        <w:rPr>
          <w:rFonts w:eastAsia="宋体" w:cs="Times New Roman"/>
        </w:rPr>
      </w:pPr>
      <w:r>
        <w:rPr>
          <w:rFonts w:eastAsia="宋体" w:cs="Times New Roman"/>
        </w:rPr>
        <w:t>7.4.1</w:t>
      </w:r>
      <w:r>
        <w:rPr>
          <w:rFonts w:hint="eastAsia" w:eastAsia="宋体" w:cs="Times New Roman"/>
        </w:rPr>
        <w:t xml:space="preserve">  </w:t>
      </w:r>
      <w:r>
        <w:rPr>
          <w:rFonts w:eastAsia="宋体" w:cs="Times New Roman"/>
        </w:rPr>
        <w:t>外观</w:t>
      </w:r>
      <w:r>
        <w:rPr>
          <w:rFonts w:hint="eastAsia" w:eastAsia="宋体" w:cs="Times New Roman"/>
        </w:rPr>
        <w:t>功能</w:t>
      </w:r>
      <w:r>
        <w:rPr>
          <w:rFonts w:eastAsia="宋体" w:cs="Times New Roman"/>
        </w:rPr>
        <w:t>检查</w:t>
      </w:r>
    </w:p>
    <w:p w14:paraId="1002F559">
      <w:pPr>
        <w:spacing w:line="360" w:lineRule="auto"/>
        <w:ind w:firstLine="480" w:firstLineChars="200"/>
        <w:rPr>
          <w:sz w:val="24"/>
          <w:szCs w:val="24"/>
        </w:rPr>
      </w:pPr>
      <w:r>
        <w:rPr>
          <w:sz w:val="24"/>
          <w:szCs w:val="24"/>
        </w:rPr>
        <w:t>有下列缺陷之一的电能表判定为外观不合格：</w:t>
      </w:r>
    </w:p>
    <w:p w14:paraId="5C8B161F">
      <w:pPr>
        <w:spacing w:line="360" w:lineRule="auto"/>
        <w:ind w:firstLine="480" w:firstLineChars="200"/>
        <w:rPr>
          <w:sz w:val="24"/>
          <w:szCs w:val="24"/>
        </w:rPr>
      </w:pPr>
      <w:r>
        <w:rPr>
          <w:sz w:val="24"/>
        </w:rPr>
        <w:t>——</w:t>
      </w:r>
      <w:r>
        <w:rPr>
          <w:sz w:val="24"/>
          <w:szCs w:val="24"/>
        </w:rPr>
        <w:t xml:space="preserve">标志不符合6.1的要求； </w:t>
      </w:r>
    </w:p>
    <w:p w14:paraId="5EDC8557">
      <w:pPr>
        <w:spacing w:line="360" w:lineRule="auto"/>
        <w:ind w:firstLine="480" w:firstLineChars="200"/>
        <w:rPr>
          <w:sz w:val="24"/>
        </w:rPr>
      </w:pPr>
      <w:r>
        <w:rPr>
          <w:sz w:val="24"/>
        </w:rPr>
        <w:t>——铭牌字迹不清楚</w:t>
      </w:r>
      <w:r>
        <w:rPr>
          <w:rFonts w:hint="eastAsia"/>
          <w:sz w:val="24"/>
        </w:rPr>
        <w:t>，</w:t>
      </w:r>
      <w:r>
        <w:rPr>
          <w:sz w:val="24"/>
        </w:rPr>
        <w:t>或经过日照后已无法辨别，影响到日后的读数或计量检定；</w:t>
      </w:r>
    </w:p>
    <w:p w14:paraId="4CF451E4">
      <w:pPr>
        <w:spacing w:line="360" w:lineRule="auto"/>
        <w:ind w:firstLine="480" w:firstLineChars="200"/>
        <w:rPr>
          <w:sz w:val="24"/>
        </w:rPr>
      </w:pPr>
      <w:r>
        <w:rPr>
          <w:sz w:val="24"/>
        </w:rPr>
        <w:t>——内部有杂物；</w:t>
      </w:r>
    </w:p>
    <w:p w14:paraId="53F67843">
      <w:pPr>
        <w:spacing w:line="360" w:lineRule="auto"/>
        <w:ind w:firstLine="480" w:firstLineChars="200"/>
        <w:rPr>
          <w:sz w:val="24"/>
        </w:rPr>
      </w:pPr>
      <w:r>
        <w:rPr>
          <w:sz w:val="24"/>
        </w:rPr>
        <w:t>——显示不清晰，液晶或数码显示器缺少笔画、断码；指示灯不亮等现象；</w:t>
      </w:r>
    </w:p>
    <w:p w14:paraId="3170736A">
      <w:pPr>
        <w:spacing w:line="360" w:lineRule="auto"/>
        <w:ind w:firstLine="480" w:firstLineChars="200"/>
        <w:rPr>
          <w:sz w:val="24"/>
        </w:rPr>
      </w:pPr>
      <w:r>
        <w:rPr>
          <w:sz w:val="24"/>
        </w:rPr>
        <w:t>——表壳损坏，视窗模糊和固定不牢或破裂；</w:t>
      </w:r>
    </w:p>
    <w:p w14:paraId="42087184">
      <w:pPr>
        <w:spacing w:line="360" w:lineRule="auto"/>
        <w:ind w:firstLine="480" w:firstLineChars="200"/>
        <w:rPr>
          <w:rFonts w:hint="eastAsia" w:ascii="宋体" w:hAnsi="宋体"/>
          <w:sz w:val="24"/>
        </w:rPr>
      </w:pPr>
      <w:r>
        <w:rPr>
          <w:sz w:val="24"/>
        </w:rPr>
        <w:t>——</w:t>
      </w:r>
      <w:r>
        <w:rPr>
          <w:rFonts w:hint="eastAsia" w:ascii="宋体" w:hAnsi="宋体"/>
          <w:sz w:val="24"/>
        </w:rPr>
        <w:t>电能表基本功能不正常；</w:t>
      </w:r>
    </w:p>
    <w:p w14:paraId="78A5EC25">
      <w:pPr>
        <w:spacing w:line="360" w:lineRule="auto"/>
        <w:ind w:firstLine="480" w:firstLineChars="200"/>
        <w:rPr>
          <w:rFonts w:hint="eastAsia" w:ascii="宋体" w:hAnsi="宋体"/>
          <w:sz w:val="24"/>
        </w:rPr>
      </w:pPr>
      <w:r>
        <w:rPr>
          <w:sz w:val="24"/>
        </w:rPr>
        <w:t>——</w:t>
      </w:r>
      <w:r>
        <w:rPr>
          <w:rFonts w:hint="eastAsia" w:ascii="宋体" w:hAnsi="宋体"/>
          <w:sz w:val="24"/>
        </w:rPr>
        <w:t>电能表涉及计费的功能不正常；</w:t>
      </w:r>
    </w:p>
    <w:p w14:paraId="58F79DC8">
      <w:pPr>
        <w:spacing w:line="360" w:lineRule="auto"/>
        <w:ind w:firstLine="480" w:firstLineChars="200"/>
        <w:rPr>
          <w:rFonts w:hint="eastAsia" w:ascii="宋体" w:hAnsi="宋体"/>
          <w:sz w:val="24"/>
        </w:rPr>
      </w:pPr>
      <w:r>
        <w:rPr>
          <w:sz w:val="24"/>
        </w:rPr>
        <w:t>——</w:t>
      </w:r>
      <w:r>
        <w:rPr>
          <w:rFonts w:hint="eastAsia" w:ascii="宋体" w:hAnsi="宋体"/>
          <w:sz w:val="24"/>
        </w:rPr>
        <w:t>封印破坏。</w:t>
      </w:r>
    </w:p>
    <w:p w14:paraId="2E6CF0C7">
      <w:pPr>
        <w:pStyle w:val="43"/>
        <w:numPr>
          <w:ilvl w:val="0"/>
          <w:numId w:val="0"/>
        </w:numPr>
        <w:spacing w:line="360" w:lineRule="auto"/>
        <w:rPr>
          <w:rFonts w:eastAsia="宋体" w:cs="Times New Roman"/>
          <w:vertAlign w:val="superscript"/>
        </w:rPr>
      </w:pPr>
      <w:r>
        <w:rPr>
          <w:rFonts w:eastAsia="宋体" w:cs="Times New Roman"/>
        </w:rPr>
        <w:t>7.4.2</w:t>
      </w:r>
      <w:r>
        <w:rPr>
          <w:rFonts w:hint="eastAsia" w:eastAsia="宋体" w:cs="Times New Roman"/>
        </w:rPr>
        <w:t xml:space="preserve">  直流</w:t>
      </w:r>
      <w:r>
        <w:rPr>
          <w:rFonts w:eastAsia="宋体" w:cs="Times New Roman"/>
        </w:rPr>
        <w:t>电压试验</w:t>
      </w:r>
    </w:p>
    <w:p w14:paraId="245DC415">
      <w:pPr>
        <w:tabs>
          <w:tab w:val="left" w:pos="540"/>
        </w:tabs>
        <w:spacing w:line="360" w:lineRule="auto"/>
        <w:ind w:firstLine="480" w:firstLineChars="200"/>
        <w:rPr>
          <w:sz w:val="24"/>
        </w:rPr>
      </w:pPr>
      <w:r>
        <w:rPr>
          <w:sz w:val="24"/>
        </w:rPr>
        <w:t>试验应在下列条件下进行：</w:t>
      </w:r>
    </w:p>
    <w:p w14:paraId="3C381F8A">
      <w:pPr>
        <w:spacing w:line="360" w:lineRule="auto"/>
        <w:ind w:firstLine="540" w:firstLineChars="225"/>
        <w:rPr>
          <w:sz w:val="24"/>
        </w:rPr>
      </w:pPr>
      <w:r>
        <w:rPr>
          <w:sz w:val="24"/>
        </w:rPr>
        <w:t>——环境温度</w:t>
      </w:r>
      <w:r>
        <w:rPr>
          <w:rFonts w:hint="eastAsia"/>
          <w:sz w:val="24"/>
        </w:rPr>
        <w:t>：</w:t>
      </w:r>
      <w:r>
        <w:rPr>
          <w:sz w:val="24"/>
        </w:rPr>
        <w:t>（15～25）</w:t>
      </w:r>
      <w:r>
        <w:rPr>
          <w:rFonts w:hint="eastAsia" w:ascii="宋体" w:hAnsi="宋体" w:cs="宋体"/>
          <w:sz w:val="24"/>
        </w:rPr>
        <w:t>℃</w:t>
      </w:r>
      <w:r>
        <w:rPr>
          <w:sz w:val="24"/>
        </w:rPr>
        <w:t>；</w:t>
      </w:r>
    </w:p>
    <w:p w14:paraId="501EB6AA">
      <w:pPr>
        <w:spacing w:line="360" w:lineRule="auto"/>
        <w:ind w:firstLine="540" w:firstLineChars="225"/>
        <w:rPr>
          <w:sz w:val="24"/>
        </w:rPr>
      </w:pPr>
      <w:r>
        <w:rPr>
          <w:sz w:val="24"/>
        </w:rPr>
        <w:t>——相对湿度：45%~75%；</w:t>
      </w:r>
    </w:p>
    <w:p w14:paraId="4552872D">
      <w:pPr>
        <w:spacing w:line="360" w:lineRule="auto"/>
        <w:ind w:firstLine="540" w:firstLineChars="225"/>
        <w:rPr>
          <w:rFonts w:eastAsia="黑体"/>
          <w:sz w:val="24"/>
        </w:rPr>
      </w:pPr>
      <w:r>
        <w:rPr>
          <w:sz w:val="24"/>
        </w:rPr>
        <w:t>——大气压力</w:t>
      </w:r>
      <w:r>
        <w:rPr>
          <w:rFonts w:hint="eastAsia"/>
          <w:sz w:val="24"/>
        </w:rPr>
        <w:t>：</w:t>
      </w:r>
      <w:r>
        <w:rPr>
          <w:sz w:val="24"/>
        </w:rPr>
        <w:t>（80～106）kPa；</w:t>
      </w:r>
    </w:p>
    <w:p w14:paraId="0A18A703">
      <w:pPr>
        <w:tabs>
          <w:tab w:val="left" w:pos="567"/>
        </w:tabs>
        <w:spacing w:line="360" w:lineRule="auto"/>
        <w:ind w:firstLine="566" w:firstLineChars="236"/>
        <w:rPr>
          <w:sz w:val="24"/>
        </w:rPr>
      </w:pPr>
      <w:r>
        <w:rPr>
          <w:sz w:val="24"/>
        </w:rPr>
        <w:t>——试验电压波形：</w:t>
      </w:r>
      <w:r>
        <w:rPr>
          <w:rFonts w:hint="eastAsia"/>
          <w:sz w:val="24"/>
        </w:rPr>
        <w:t>直流电压</w:t>
      </w:r>
      <w:r>
        <w:rPr>
          <w:sz w:val="24"/>
        </w:rPr>
        <w:t>（</w:t>
      </w:r>
      <w:r>
        <w:rPr>
          <w:rFonts w:hint="eastAsia"/>
          <w:sz w:val="24"/>
        </w:rPr>
        <w:t>纹波系数</w:t>
      </w:r>
      <w:r>
        <w:rPr>
          <w:sz w:val="24"/>
        </w:rPr>
        <w:t>不大于</w:t>
      </w:r>
      <w:r>
        <w:rPr>
          <w:rFonts w:hint="eastAsia"/>
          <w:sz w:val="24"/>
        </w:rPr>
        <w:t>3</w:t>
      </w:r>
      <w:r>
        <w:rPr>
          <w:sz w:val="24"/>
        </w:rPr>
        <w:t>%）；</w:t>
      </w:r>
    </w:p>
    <w:p w14:paraId="30E9E5E1">
      <w:pPr>
        <w:tabs>
          <w:tab w:val="left" w:pos="540"/>
        </w:tabs>
        <w:spacing w:line="360" w:lineRule="auto"/>
        <w:ind w:firstLine="480" w:firstLineChars="200"/>
        <w:rPr>
          <w:sz w:val="24"/>
        </w:rPr>
      </w:pPr>
      <w:r>
        <w:rPr>
          <w:sz w:val="24"/>
        </w:rPr>
        <w:t>——试验电压：按表</w:t>
      </w:r>
      <w:r>
        <w:rPr>
          <w:rFonts w:hint="eastAsia"/>
          <w:sz w:val="24"/>
        </w:rPr>
        <w:t>5</w:t>
      </w:r>
      <w:r>
        <w:rPr>
          <w:sz w:val="24"/>
        </w:rPr>
        <w:t>；</w:t>
      </w:r>
    </w:p>
    <w:p w14:paraId="1824C0B5">
      <w:pPr>
        <w:tabs>
          <w:tab w:val="left" w:pos="540"/>
        </w:tabs>
        <w:spacing w:line="360" w:lineRule="auto"/>
        <w:ind w:firstLine="480" w:firstLineChars="200"/>
        <w:rPr>
          <w:sz w:val="24"/>
        </w:rPr>
      </w:pPr>
      <w:r>
        <w:rPr>
          <w:sz w:val="24"/>
        </w:rPr>
        <w:t>——试验时间：1min。</w:t>
      </w:r>
    </w:p>
    <w:p w14:paraId="55019CAB">
      <w:pPr>
        <w:spacing w:line="360" w:lineRule="auto"/>
        <w:ind w:firstLine="480" w:firstLineChars="200"/>
        <w:rPr>
          <w:sz w:val="24"/>
        </w:rPr>
      </w:pPr>
      <w:r>
        <w:rPr>
          <w:sz w:val="24"/>
        </w:rPr>
        <w:t>在对地试验中，参比电压等于或低于40 V的辅助线路应接地。</w:t>
      </w:r>
    </w:p>
    <w:p w14:paraId="39E43FD0">
      <w:pPr>
        <w:spacing w:line="360" w:lineRule="auto"/>
        <w:ind w:firstLine="480" w:firstLineChars="200"/>
        <w:rPr>
          <w:sz w:val="24"/>
        </w:rPr>
      </w:pPr>
      <w:r>
        <w:rPr>
          <w:rFonts w:eastAsia="黑体"/>
          <w:sz w:val="24"/>
        </w:rPr>
        <w:t>a)</w:t>
      </w:r>
      <w:r>
        <w:rPr>
          <w:sz w:val="24"/>
        </w:rPr>
        <w:t xml:space="preserve"> 盖好被检电能表表盖和端子盖，所有的电流线路和电压线路以及参比电压超过40V的辅助线路连接在一起为一点</w:t>
      </w:r>
      <w:r>
        <w:rPr>
          <w:rFonts w:ascii="宋体" w:hAnsi="宋体"/>
          <w:sz w:val="24"/>
        </w:rPr>
        <w:t>,</w:t>
      </w:r>
      <w:r>
        <w:rPr>
          <w:sz w:val="24"/>
        </w:rPr>
        <w:t>另一点是地，试验电压施加于该两点间。</w:t>
      </w:r>
      <w:r>
        <w:rPr>
          <w:rFonts w:hint="eastAsia"/>
          <w:sz w:val="24"/>
        </w:rPr>
        <w:t>对于电压线路和电流线路采用电气隔离的电能表，应增加电压线路与电流线路间的试验。</w:t>
      </w:r>
    </w:p>
    <w:p w14:paraId="0470D36D">
      <w:pPr>
        <w:spacing w:line="360" w:lineRule="auto"/>
        <w:ind w:firstLine="480" w:firstLineChars="200"/>
        <w:rPr>
          <w:sz w:val="24"/>
        </w:rPr>
      </w:pPr>
      <w:r>
        <w:rPr>
          <w:rFonts w:eastAsia="黑体"/>
          <w:sz w:val="24"/>
        </w:rPr>
        <w:t>b)</w:t>
      </w:r>
      <w:r>
        <w:rPr>
          <w:rFonts w:hint="eastAsia" w:eastAsia="黑体"/>
          <w:sz w:val="24"/>
        </w:rPr>
        <w:t xml:space="preserve"> </w:t>
      </w:r>
      <w:r>
        <w:rPr>
          <w:rFonts w:hint="eastAsia"/>
          <w:sz w:val="24"/>
        </w:rPr>
        <w:t>试验</w:t>
      </w:r>
      <w:r>
        <w:rPr>
          <w:sz w:val="24"/>
        </w:rPr>
        <w:t>电压施加应以足够低的起始值开始</w:t>
      </w:r>
      <w:r>
        <w:rPr>
          <w:rFonts w:hint="eastAsia"/>
          <w:sz w:val="24"/>
        </w:rPr>
        <w:t>，</w:t>
      </w:r>
      <w:r>
        <w:rPr>
          <w:sz w:val="24"/>
        </w:rPr>
        <w:t>以避免开关瞬态过电压，当电压升至预估终值75%以上时，宜按5%/秒的速率升压至目标值（确保可读取仪表示值且避免试品承受额外应力）；维持</w:t>
      </w:r>
      <w:r>
        <w:rPr>
          <w:rFonts w:hint="eastAsia"/>
          <w:sz w:val="24"/>
        </w:rPr>
        <w:t>1min</w:t>
      </w:r>
      <w:r>
        <w:rPr>
          <w:sz w:val="24"/>
        </w:rPr>
        <w:t>后，应通过适配电阻对平滑电容及试品放电</w:t>
      </w:r>
      <w:r>
        <w:rPr>
          <w:rFonts w:hint="eastAsia"/>
          <w:sz w:val="24"/>
        </w:rPr>
        <w:t>，</w:t>
      </w:r>
      <w:r>
        <w:rPr>
          <w:sz w:val="24"/>
        </w:rPr>
        <w:t>将试验电压降到零。试验中，电能表不应出现闪络、破坏性放电或击穿；试验后，电能表无机械损坏，电能表应能正确工作。</w:t>
      </w:r>
    </w:p>
    <w:p w14:paraId="776BAD4C">
      <w:pPr>
        <w:pStyle w:val="43"/>
        <w:numPr>
          <w:ilvl w:val="0"/>
          <w:numId w:val="0"/>
        </w:numPr>
        <w:spacing w:line="360" w:lineRule="auto"/>
        <w:jc w:val="both"/>
        <w:rPr>
          <w:rFonts w:eastAsia="宋体" w:cs="Times New Roman"/>
          <w:kern w:val="2"/>
        </w:rPr>
      </w:pPr>
      <w:r>
        <w:rPr>
          <w:rFonts w:eastAsia="宋体" w:cs="Times New Roman"/>
          <w:kern w:val="2"/>
        </w:rPr>
        <w:t>7.4.3</w:t>
      </w:r>
      <w:r>
        <w:rPr>
          <w:rFonts w:hint="eastAsia" w:eastAsia="宋体" w:cs="Times New Roman"/>
          <w:kern w:val="2"/>
        </w:rPr>
        <w:t xml:space="preserve">  </w:t>
      </w:r>
      <w:r>
        <w:rPr>
          <w:rFonts w:eastAsia="宋体" w:cs="Times New Roman"/>
          <w:kern w:val="2"/>
        </w:rPr>
        <w:t>绝缘电阻试验</w:t>
      </w:r>
    </w:p>
    <w:p w14:paraId="78E43F5B">
      <w:pPr>
        <w:autoSpaceDE w:val="0"/>
        <w:autoSpaceDN w:val="0"/>
        <w:adjustRightInd w:val="0"/>
        <w:spacing w:line="360" w:lineRule="auto"/>
        <w:ind w:firstLine="480" w:firstLineChars="200"/>
        <w:rPr>
          <w:sz w:val="24"/>
        </w:rPr>
      </w:pPr>
      <w:r>
        <w:rPr>
          <w:rFonts w:hint="eastAsia"/>
          <w:sz w:val="24"/>
        </w:rPr>
        <w:t>进行</w:t>
      </w:r>
      <w:r>
        <w:rPr>
          <w:sz w:val="24"/>
        </w:rPr>
        <w:t>电能表的绝缘电阻</w:t>
      </w:r>
      <w:r>
        <w:rPr>
          <w:rFonts w:hint="eastAsia"/>
          <w:sz w:val="24"/>
        </w:rPr>
        <w:t>试验</w:t>
      </w:r>
      <w:r>
        <w:rPr>
          <w:sz w:val="24"/>
        </w:rPr>
        <w:t>时，</w:t>
      </w:r>
      <w:r>
        <w:rPr>
          <w:rFonts w:hint="eastAsia"/>
          <w:sz w:val="24"/>
        </w:rPr>
        <w:t>绝缘电阻</w:t>
      </w:r>
      <w:r>
        <w:rPr>
          <w:sz w:val="24"/>
        </w:rPr>
        <w:t>表的电压施加到</w:t>
      </w:r>
      <w:r>
        <w:rPr>
          <w:rFonts w:hint="eastAsia"/>
          <w:sz w:val="24"/>
        </w:rPr>
        <w:t>直流</w:t>
      </w:r>
      <w:r>
        <w:rPr>
          <w:sz w:val="24"/>
        </w:rPr>
        <w:t>电压试验时所施加的部位</w:t>
      </w:r>
      <w:r>
        <w:rPr>
          <w:rFonts w:hint="eastAsia"/>
          <w:sz w:val="24"/>
        </w:rPr>
        <w:t>，待读数稳定后</w:t>
      </w:r>
      <w:r>
        <w:rPr>
          <w:sz w:val="24"/>
        </w:rPr>
        <w:t>再读取</w:t>
      </w:r>
      <w:r>
        <w:rPr>
          <w:rFonts w:hint="eastAsia"/>
          <w:sz w:val="24"/>
        </w:rPr>
        <w:t>绝缘电阻</w:t>
      </w:r>
      <w:r>
        <w:rPr>
          <w:sz w:val="24"/>
        </w:rPr>
        <w:t>表上的指示值。测</w:t>
      </w:r>
      <w:r>
        <w:rPr>
          <w:rFonts w:hint="eastAsia"/>
          <w:sz w:val="24"/>
        </w:rPr>
        <w:t>量</w:t>
      </w:r>
      <w:r>
        <w:rPr>
          <w:sz w:val="24"/>
        </w:rPr>
        <w:t>绝缘电阻的</w:t>
      </w:r>
      <w:r>
        <w:rPr>
          <w:rFonts w:hint="eastAsia"/>
          <w:sz w:val="24"/>
        </w:rPr>
        <w:t>试验</w:t>
      </w:r>
      <w:r>
        <w:rPr>
          <w:sz w:val="24"/>
        </w:rPr>
        <w:t>电压为1 kV</w:t>
      </w:r>
      <w:r>
        <w:rPr>
          <w:rFonts w:hint="eastAsia"/>
          <w:sz w:val="24"/>
        </w:rPr>
        <w:t>，</w:t>
      </w:r>
      <w:r>
        <w:rPr>
          <w:sz w:val="24"/>
        </w:rPr>
        <w:t>测量结果应符合6.2要求。</w:t>
      </w:r>
    </w:p>
    <w:p w14:paraId="675F84E9">
      <w:pPr>
        <w:pStyle w:val="43"/>
        <w:numPr>
          <w:ilvl w:val="0"/>
          <w:numId w:val="0"/>
        </w:numPr>
        <w:spacing w:line="360" w:lineRule="auto"/>
        <w:rPr>
          <w:rFonts w:eastAsia="宋体" w:cs="Times New Roman"/>
        </w:rPr>
      </w:pPr>
      <w:r>
        <w:rPr>
          <w:rFonts w:eastAsia="宋体" w:cs="Times New Roman"/>
        </w:rPr>
        <w:t>7.4.4</w:t>
      </w:r>
      <w:r>
        <w:rPr>
          <w:rFonts w:hint="eastAsia" w:eastAsia="宋体" w:cs="Times New Roman"/>
        </w:rPr>
        <w:t xml:space="preserve">  无负载状态</w:t>
      </w:r>
      <w:r>
        <w:rPr>
          <w:rFonts w:eastAsia="宋体" w:cs="Times New Roman"/>
        </w:rPr>
        <w:t>试验</w:t>
      </w:r>
    </w:p>
    <w:p w14:paraId="15C49638">
      <w:pPr>
        <w:pStyle w:val="58"/>
        <w:shd w:val="clear" w:color="auto" w:fill="auto"/>
        <w:spacing w:line="360" w:lineRule="auto"/>
        <w:ind w:left="20" w:right="20" w:firstLine="440"/>
        <w:jc w:val="both"/>
        <w:rPr>
          <w:rFonts w:ascii="Times New Roman" w:hAnsi="Times New Roman" w:eastAsia="宋体"/>
          <w:kern w:val="2"/>
          <w:sz w:val="24"/>
          <w:szCs w:val="20"/>
          <w:lang w:eastAsia="zh-CN"/>
        </w:rPr>
      </w:pPr>
      <w:r>
        <w:rPr>
          <w:rFonts w:hint="eastAsia" w:ascii="Times New Roman" w:hAnsi="Times New Roman" w:eastAsia="宋体"/>
          <w:kern w:val="2"/>
          <w:sz w:val="24"/>
          <w:szCs w:val="20"/>
          <w:lang w:eastAsia="zh-CN"/>
        </w:rPr>
        <w:t>试</w:t>
      </w:r>
      <w:r>
        <w:rPr>
          <w:rFonts w:ascii="Times New Roman" w:hAnsi="Times New Roman" w:eastAsia="宋体"/>
          <w:kern w:val="2"/>
          <w:sz w:val="24"/>
          <w:szCs w:val="20"/>
          <w:lang w:eastAsia="zh-CN"/>
        </w:rPr>
        <w:t>验时，电压施加到电压电路和辅助电源电路（如有），电流线路不加电流，电能表的测试输出在规定的时限内不应产生多于一个的脉冲。</w:t>
      </w:r>
    </w:p>
    <w:p w14:paraId="6154903C">
      <w:pPr>
        <w:pStyle w:val="58"/>
        <w:shd w:val="clear" w:color="auto" w:fill="auto"/>
        <w:spacing w:line="360" w:lineRule="auto"/>
        <w:ind w:left="20" w:right="20" w:firstLine="440"/>
        <w:jc w:val="both"/>
        <w:rPr>
          <w:rFonts w:ascii="Times New Roman" w:hAnsi="Times New Roman"/>
          <w:sz w:val="24"/>
        </w:rPr>
      </w:pPr>
      <w:r>
        <w:rPr>
          <w:rFonts w:ascii="Times New Roman" w:hAnsi="Times New Roman" w:eastAsia="宋体"/>
          <w:sz w:val="24"/>
          <w:lang w:eastAsia="zh-CN"/>
        </w:rPr>
        <w:t>对于本试验，电流电路应开路，电压电路施加1.1</w:t>
      </w:r>
      <w:r>
        <w:rPr>
          <w:rFonts w:ascii="Times New Roman" w:hAnsi="Times New Roman" w:eastAsia="宋体"/>
          <w:i/>
          <w:iCs/>
          <w:sz w:val="24"/>
          <w:lang w:eastAsia="zh-CN"/>
        </w:rPr>
        <w:t>U</w:t>
      </w:r>
      <w:r>
        <w:rPr>
          <w:rFonts w:ascii="Times New Roman" w:hAnsi="Times New Roman" w:eastAsia="宋体"/>
          <w:sz w:val="24"/>
          <w:vertAlign w:val="subscript"/>
          <w:lang w:eastAsia="zh-CN"/>
        </w:rPr>
        <w:t>n</w:t>
      </w:r>
      <w:r>
        <w:rPr>
          <w:rFonts w:ascii="Times New Roman" w:hAnsi="Times New Roman" w:eastAsia="宋体"/>
          <w:sz w:val="24"/>
          <w:lang w:eastAsia="zh-CN"/>
        </w:rPr>
        <w:t>的电压。如果仪表适用于多个标称电压或标称电压范围，应施加1.1倍标称电压的最大值或1.1倍标称电压范围的上限值。</w:t>
      </w:r>
    </w:p>
    <w:p w14:paraId="4000DC51">
      <w:pPr>
        <w:spacing w:line="360" w:lineRule="auto"/>
        <w:ind w:firstLine="480" w:firstLineChars="200"/>
        <w:rPr>
          <w:sz w:val="24"/>
        </w:rPr>
      </w:pPr>
      <w:r>
        <w:rPr>
          <w:rFonts w:hint="eastAsia"/>
          <w:sz w:val="24"/>
        </w:rPr>
        <w:t>最小试验时间</w:t>
      </w:r>
      <w:r>
        <w:rPr>
          <w:position w:val="-6"/>
        </w:rPr>
        <w:object>
          <v:shape id="_x0000_i1036" o:spt="75" type="#_x0000_t75" style="height:14.55pt;width:15pt;" o:ole="t" filled="f" o:preferrelative="t" stroked="f" coordsize="21600,21600">
            <v:path/>
            <v:fill on="f" focussize="0,0"/>
            <v:stroke on="f" joinstyle="miter"/>
            <v:imagedata r:id="rId33" o:title=""/>
            <o:lock v:ext="edit" aspectratio="t"/>
            <w10:wrap type="none"/>
            <w10:anchorlock/>
          </v:shape>
          <o:OLEObject Type="Embed" ProgID="Equation.3" ShapeID="_x0000_i1036" DrawAspect="Content" ObjectID="_1468075736" r:id="rId32">
            <o:LockedField>false</o:LockedField>
          </o:OLEObject>
        </w:object>
      </w:r>
      <w:r>
        <w:rPr>
          <w:rFonts w:hint="eastAsia"/>
          <w:sz w:val="24"/>
        </w:rPr>
        <w:t>按以下公示进行计算，单位为分钟：</w:t>
      </w:r>
    </w:p>
    <w:p w14:paraId="528FC783">
      <w:pPr>
        <w:tabs>
          <w:tab w:val="left" w:pos="540"/>
        </w:tabs>
        <w:adjustRightInd w:val="0"/>
        <w:snapToGrid w:val="0"/>
        <w:spacing w:line="360" w:lineRule="auto"/>
        <w:ind w:firstLine="420" w:firstLineChars="200"/>
        <w:jc w:val="right"/>
        <w:rPr>
          <w:rFonts w:hint="eastAsia" w:hAnsi="宋体"/>
          <w:color w:val="000000"/>
          <w:sz w:val="24"/>
        </w:rPr>
      </w:pPr>
      <w:r>
        <w:rPr>
          <w:rFonts w:hint="eastAsia"/>
          <w:position w:val="-30"/>
        </w:rPr>
        <w:object>
          <v:shape id="_x0000_i1037" o:spt="75" type="#_x0000_t75" style="height:36.2pt;width:104.05pt;" o:ole="t" filled="f" o:preferrelative="t" stroked="f" coordsize="21600,21600">
            <v:path/>
            <v:fill on="f" focussize="0,0"/>
            <v:stroke on="f" joinstyle="miter"/>
            <v:imagedata r:id="rId35" o:title=""/>
            <o:lock v:ext="edit" aspectratio="t"/>
            <w10:wrap type="none"/>
            <w10:anchorlock/>
          </v:shape>
          <o:OLEObject Type="Embed" ProgID="Equation.DSMT4" ShapeID="_x0000_i1037" DrawAspect="Content" ObjectID="_1468075737" r:id="rId34">
            <o:LockedField>false</o:LockedField>
          </o:OLEObject>
        </w:object>
      </w:r>
      <w:r>
        <w:rPr>
          <w:rFonts w:hAnsi="宋体"/>
          <w:color w:val="000000"/>
          <w:sz w:val="24"/>
        </w:rPr>
        <w:t xml:space="preserve"> </w:t>
      </w:r>
      <w:r>
        <w:rPr>
          <w:rFonts w:hAnsi="宋体"/>
          <w:color w:val="000000"/>
          <w:sz w:val="24"/>
        </w:rPr>
        <w:fldChar w:fldCharType="begin"/>
      </w:r>
      <w:r>
        <w:rPr>
          <w:rFonts w:hAnsi="宋体"/>
          <w:color w:val="000000"/>
          <w:sz w:val="24"/>
        </w:rPr>
        <w:instrText xml:space="preserve"> QUOTE </w:instrText>
      </w:r>
      <w:r>
        <w:rPr>
          <w:position w:val="-35"/>
        </w:rPr>
        <w:pict>
          <v:shape id="_x0000_i1038" o:spt="75" type="#_x0000_t75" style="height:45.8pt;width:144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hideSpellingErrors/&gt;&lt;w:hideGrammaticalErrors/&gt;&lt;w:stylePaneFormatFilter w:val=&quot;3F01&quot;/&gt;&lt;w:defaultTabStop w:val=&quot;420&quot;/&gt;&lt;w:evenAndOddHeaders/&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FELayout/&gt;&lt;/w:compat&gt;&lt;wsp:rsids&gt;&lt;wsp:rsidRoot wsp:val=&quot;003E57DC&quot;/&gt;&lt;wsp:rsid wsp:val=&quot;00001D02&quot;/&gt;&lt;wsp:rsid wsp:val=&quot;00001D29&quot;/&gt;&lt;wsp:rsid wsp:val=&quot;0000286B&quot;/&gt;&lt;wsp:rsid wsp:val=&quot;00002941&quot;/&gt;&lt;wsp:rsid wsp:val=&quot;00005D9D&quot;/&gt;&lt;wsp:rsid wsp:val=&quot;0001091D&quot;/&gt;&lt;wsp:rsid wsp:val=&quot;0001172D&quot;/&gt;&lt;wsp:rsid wsp:val=&quot;00014DDE&quot;/&gt;&lt;wsp:rsid wsp:val=&quot;00015620&quot;/&gt;&lt;wsp:rsid wsp:val=&quot;00016B52&quot;/&gt;&lt;wsp:rsid wsp:val=&quot;00016F13&quot;/&gt;&lt;wsp:rsid wsp:val=&quot;00022C00&quot;/&gt;&lt;wsp:rsid wsp:val=&quot;000233D9&quot;/&gt;&lt;wsp:rsid wsp:val=&quot;0002424B&quot;/&gt;&lt;wsp:rsid wsp:val=&quot;00024667&quot;/&gt;&lt;wsp:rsid wsp:val=&quot;00024AF0&quot;/&gt;&lt;wsp:rsid wsp:val=&quot;00025F5C&quot;/&gt;&lt;wsp:rsid wsp:val=&quot;00026624&quot;/&gt;&lt;wsp:rsid wsp:val=&quot;000317A6&quot;/&gt;&lt;wsp:rsid wsp:val=&quot;0003256A&quot;/&gt;&lt;wsp:rsid wsp:val=&quot;00033F3A&quot;/&gt;&lt;wsp:rsid wsp:val=&quot;0003443F&quot;/&gt;&lt;wsp:rsid wsp:val=&quot;00036322&quot;/&gt;&lt;wsp:rsid wsp:val=&quot;00037659&quot;/&gt;&lt;wsp:rsid wsp:val=&quot;000378E9&quot;/&gt;&lt;wsp:rsid wsp:val=&quot;00037B78&quot;/&gt;&lt;wsp:rsid wsp:val=&quot;00040099&quot;/&gt;&lt;wsp:rsid wsp:val=&quot;00040AC9&quot;/&gt;&lt;wsp:rsid wsp:val=&quot;00042C82&quot;/&gt;&lt;wsp:rsid wsp:val=&quot;0004375F&quot;/&gt;&lt;wsp:rsid wsp:val=&quot;00044E07&quot;/&gt;&lt;wsp:rsid wsp:val=&quot;00045CC8&quot;/&gt;&lt;wsp:rsid wsp:val=&quot;00046E57&quot;/&gt;&lt;wsp:rsid wsp:val=&quot;00046FA6&quot;/&gt;&lt;wsp:rsid wsp:val=&quot;00047C94&quot;/&gt;&lt;wsp:rsid wsp:val=&quot;00047CA8&quot;/&gt;&lt;wsp:rsid wsp:val=&quot;00050756&quot;/&gt;&lt;wsp:rsid wsp:val=&quot;00053387&quot;/&gt;&lt;wsp:rsid wsp:val=&quot;00053459&quot;/&gt;&lt;wsp:rsid wsp:val=&quot;00053AD4&quot;/&gt;&lt;wsp:rsid wsp:val=&quot;00055556&quot;/&gt;&lt;wsp:rsid wsp:val=&quot;0006051D&quot;/&gt;&lt;wsp:rsid wsp:val=&quot;00061FA3&quot;/&gt;&lt;wsp:rsid wsp:val=&quot;000634CE&quot;/&gt;&lt;wsp:rsid wsp:val=&quot;00063DC3&quot;/&gt;&lt;wsp:rsid wsp:val=&quot;00064A72&quot;/&gt;&lt;wsp:rsid wsp:val=&quot;00065C2F&quot;/&gt;&lt;wsp:rsid wsp:val=&quot;00066C59&quot;/&gt;&lt;wsp:rsid wsp:val=&quot;00066EB0&quot;/&gt;&lt;wsp:rsid wsp:val=&quot;00067D54&quot;/&gt;&lt;wsp:rsid wsp:val=&quot;00072B73&quot;/&gt;&lt;wsp:rsid wsp:val=&quot;00072C96&quot;/&gt;&lt;wsp:rsid wsp:val=&quot;00072D48&quot;/&gt;&lt;wsp:rsid wsp:val=&quot;00073359&quot;/&gt;&lt;wsp:rsid wsp:val=&quot;0007353C&quot;/&gt;&lt;wsp:rsid wsp:val=&quot;00074AB8&quot;/&gt;&lt;wsp:rsid wsp:val=&quot;00075848&quot;/&gt;&lt;wsp:rsid wsp:val=&quot;00077656&quot;/&gt;&lt;wsp:rsid wsp:val=&quot;00080E6B&quot;/&gt;&lt;wsp:rsid wsp:val=&quot;00080EC4&quot;/&gt;&lt;wsp:rsid wsp:val=&quot;0008215F&quot;/&gt;&lt;wsp:rsid wsp:val=&quot;00083670&quot;/&gt;&lt;wsp:rsid wsp:val=&quot;000857C2&quot;/&gt;&lt;wsp:rsid wsp:val=&quot;00085F40&quot;/&gt;&lt;wsp:rsid wsp:val=&quot;00087FB5&quot;/&gt;&lt;wsp:rsid wsp:val=&quot;00091824&quot;/&gt;&lt;wsp:rsid wsp:val=&quot;0009230B&quot;/&gt;&lt;wsp:rsid wsp:val=&quot;0009237E&quot;/&gt;&lt;wsp:rsid wsp:val=&quot;00093D7E&quot;/&gt;&lt;wsp:rsid wsp:val=&quot;0009412D&quot;/&gt;&lt;wsp:rsid wsp:val=&quot;00095FED&quot;/&gt;&lt;wsp:rsid wsp:val=&quot;0009664D&quot;/&gt;&lt;wsp:rsid wsp:val=&quot;000A0317&quot;/&gt;&lt;wsp:rsid wsp:val=&quot;000A0773&quot;/&gt;&lt;wsp:rsid wsp:val=&quot;000A0815&quot;/&gt;&lt;wsp:rsid wsp:val=&quot;000A136E&quot;/&gt;&lt;wsp:rsid wsp:val=&quot;000A3DFB&quot;/&gt;&lt;wsp:rsid wsp:val=&quot;000B009F&quot;/&gt;&lt;wsp:rsid wsp:val=&quot;000B0193&quot;/&gt;&lt;wsp:rsid wsp:val=&quot;000B0A22&quot;/&gt;&lt;wsp:rsid wsp:val=&quot;000B1491&quot;/&gt;&lt;wsp:rsid wsp:val=&quot;000B192D&quot;/&gt;&lt;wsp:rsid wsp:val=&quot;000B2DF5&quot;/&gt;&lt;wsp:rsid wsp:val=&quot;000B5F96&quot;/&gt;&lt;wsp:rsid wsp:val=&quot;000B6F92&quot;/&gt;&lt;wsp:rsid wsp:val=&quot;000C0BA5&quot;/&gt;&lt;wsp:rsid wsp:val=&quot;000C0BF1&quot;/&gt;&lt;wsp:rsid wsp:val=&quot;000C1305&quot;/&gt;&lt;wsp:rsid wsp:val=&quot;000C1654&quot;/&gt;&lt;wsp:rsid wsp:val=&quot;000C332D&quot;/&gt;&lt;wsp:rsid wsp:val=&quot;000C3685&quot;/&gt;&lt;wsp:rsid wsp:val=&quot;000C462B&quot;/&gt;&lt;wsp:rsid wsp:val=&quot;000C5954&quot;/&gt;&lt;wsp:rsid wsp:val=&quot;000D1893&quot;/&gt;&lt;wsp:rsid wsp:val=&quot;000D38E3&quot;/&gt;&lt;wsp:rsid wsp:val=&quot;000D5D01&quot;/&gt;&lt;wsp:rsid wsp:val=&quot;000E14B5&quot;/&gt;&lt;wsp:rsid wsp:val=&quot;000E1A4A&quot;/&gt;&lt;wsp:rsid wsp:val=&quot;000E1C71&quot;/&gt;&lt;wsp:rsid wsp:val=&quot;000E2A96&quot;/&gt;&lt;wsp:rsid wsp:val=&quot;000E45BE&quot;/&gt;&lt;wsp:rsid wsp:val=&quot;000E6109&quot;/&gt;&lt;wsp:rsid wsp:val=&quot;000E63CE&quot;/&gt;&lt;wsp:rsid wsp:val=&quot;000E657B&quot;/&gt;&lt;wsp:rsid wsp:val=&quot;000E6BA9&quot;/&gt;&lt;wsp:rsid wsp:val=&quot;000E7528&quot;/&gt;&lt;wsp:rsid wsp:val=&quot;000F0556&quot;/&gt;&lt;wsp:rsid wsp:val=&quot;000F1379&quot;/&gt;&lt;wsp:rsid wsp:val=&quot;000F23E6&quot;/&gt;&lt;wsp:rsid wsp:val=&quot;000F2911&quot;/&gt;&lt;wsp:rsid wsp:val=&quot;000F3496&quot;/&gt;&lt;wsp:rsid wsp:val=&quot;00100B06&quot;/&gt;&lt;wsp:rsid wsp:val=&quot;00100EC6&quot;/&gt;&lt;wsp:rsid wsp:val=&quot;00102A5E&quot;/&gt;&lt;wsp:rsid wsp:val=&quot;00102CBD&quot;/&gt;&lt;wsp:rsid wsp:val=&quot;001041B2&quot;/&gt;&lt;wsp:rsid wsp:val=&quot;00104630&quot;/&gt;&lt;wsp:rsid wsp:val=&quot;00104D90&quot;/&gt;&lt;wsp:rsid wsp:val=&quot;0011502B&quot;/&gt;&lt;wsp:rsid wsp:val=&quot;00116A13&quot;/&gt;&lt;wsp:rsid wsp:val=&quot;00117298&quot;/&gt;&lt;wsp:rsid wsp:val=&quot;001205BB&quot;/&gt;&lt;wsp:rsid wsp:val=&quot;00121815&quot;/&gt;&lt;wsp:rsid wsp:val=&quot;00123423&quot;/&gt;&lt;wsp:rsid wsp:val=&quot;00124201&quot;/&gt;&lt;wsp:rsid wsp:val=&quot;0012424F&quot;/&gt;&lt;wsp:rsid wsp:val=&quot;00124437&quot;/&gt;&lt;wsp:rsid wsp:val=&quot;00126789&quot;/&gt;&lt;wsp:rsid wsp:val=&quot;00130D4D&quot;/&gt;&lt;wsp:rsid wsp:val=&quot;00132687&quot;/&gt;&lt;wsp:rsid wsp:val=&quot;0013514E&quot;/&gt;&lt;wsp:rsid wsp:val=&quot;00135D72&quot;/&gt;&lt;wsp:rsid wsp:val=&quot;001372C6&quot;/&gt;&lt;wsp:rsid wsp:val=&quot;001378A0&quot;/&gt;&lt;wsp:rsid wsp:val=&quot;00137DDB&quot;/&gt;&lt;wsp:rsid wsp:val=&quot;001400E0&quot;/&gt;&lt;wsp:rsid wsp:val=&quot;00140187&quot;/&gt;&lt;wsp:rsid wsp:val=&quot;0014150C&quot;/&gt;&lt;wsp:rsid wsp:val=&quot;00142D2D&quot;/&gt;&lt;wsp:rsid wsp:val=&quot;0014422E&quot;/&gt;&lt;wsp:rsid wsp:val=&quot;001467FE&quot;/&gt;&lt;wsp:rsid wsp:val=&quot;001477D5&quot;/&gt;&lt;wsp:rsid wsp:val=&quot;00151069&quot;/&gt;&lt;wsp:rsid wsp:val=&quot;00151119&quot;/&gt;&lt;wsp:rsid wsp:val=&quot;001514D1&quot;/&gt;&lt;wsp:rsid wsp:val=&quot;00152813&quot;/&gt;&lt;wsp:rsid wsp:val=&quot;00152E87&quot;/&gt;&lt;wsp:rsid wsp:val=&quot;00156D9C&quot;/&gt;&lt;wsp:rsid wsp:val=&quot;001572CF&quot;/&gt;&lt;wsp:rsid wsp:val=&quot;00161224&quot;/&gt;&lt;wsp:rsid wsp:val=&quot;001644A0&quot;/&gt;&lt;wsp:rsid wsp:val=&quot;00164C13&quot;/&gt;&lt;wsp:rsid wsp:val=&quot;00166510&quot;/&gt;&lt;wsp:rsid wsp:val=&quot;00166753&quot;/&gt;&lt;wsp:rsid wsp:val=&quot;00173051&quot;/&gt;&lt;wsp:rsid wsp:val=&quot;00174539&quot;/&gt;&lt;wsp:rsid wsp:val=&quot;00174875&quot;/&gt;&lt;wsp:rsid wsp:val=&quot;00174CE5&quot;/&gt;&lt;wsp:rsid wsp:val=&quot;00175CCD&quot;/&gt;&lt;wsp:rsid wsp:val=&quot;00176A68&quot;/&gt;&lt;wsp:rsid wsp:val=&quot;0017751E&quot;/&gt;&lt;wsp:rsid wsp:val=&quot;00180856&quot;/&gt;&lt;wsp:rsid wsp:val=&quot;001817D4&quot;/&gt;&lt;wsp:rsid wsp:val=&quot;00182FC3&quot;/&gt;&lt;wsp:rsid wsp:val=&quot;00183047&quot;/&gt;&lt;wsp:rsid wsp:val=&quot;0018337E&quot;/&gt;&lt;wsp:rsid wsp:val=&quot;00184827&quot;/&gt;&lt;wsp:rsid wsp:val=&quot;00184829&quot;/&gt;&lt;wsp:rsid wsp:val=&quot;001851C6&quot;/&gt;&lt;wsp:rsid wsp:val=&quot;00186D63&quot;/&gt;&lt;wsp:rsid wsp:val=&quot;00186F40&quot;/&gt;&lt;wsp:rsid wsp:val=&quot;0018776B&quot;/&gt;&lt;wsp:rsid wsp:val=&quot;00194145&quot;/&gt;&lt;wsp:rsid wsp:val=&quot;00196BF2&quot;/&gt;&lt;wsp:rsid wsp:val=&quot;001972F6&quot;/&gt;&lt;wsp:rsid wsp:val=&quot;00197FB6&quot;/&gt;&lt;wsp:rsid wsp:val=&quot;001A3FF9&quot;/&gt;&lt;wsp:rsid wsp:val=&quot;001A4954&quot;/&gt;&lt;wsp:rsid wsp:val=&quot;001A6B71&quot;/&gt;&lt;wsp:rsid wsp:val=&quot;001B01F3&quot;/&gt;&lt;wsp:rsid wsp:val=&quot;001B13F5&quot;/&gt;&lt;wsp:rsid wsp:val=&quot;001B2528&quot;/&gt;&lt;wsp:rsid wsp:val=&quot;001B379D&quot;/&gt;&lt;wsp:rsid wsp:val=&quot;001B3E39&quot;/&gt;&lt;wsp:rsid wsp:val=&quot;001B587A&quot;/&gt;&lt;wsp:rsid wsp:val=&quot;001B68B3&quot;/&gt;&lt;wsp:rsid wsp:val=&quot;001B764A&quot;/&gt;&lt;wsp:rsid wsp:val=&quot;001C2246&quot;/&gt;&lt;wsp:rsid wsp:val=&quot;001C2E9F&quot;/&gt;&lt;wsp:rsid wsp:val=&quot;001C72E9&quot;/&gt;&lt;wsp:rsid wsp:val=&quot;001D0510&quot;/&gt;&lt;wsp:rsid wsp:val=&quot;001D1DDF&quot;/&gt;&lt;wsp:rsid wsp:val=&quot;001D25F1&quot;/&gt;&lt;wsp:rsid wsp:val=&quot;001D4F59&quot;/&gt;&lt;wsp:rsid wsp:val=&quot;001E1AEA&quot;/&gt;&lt;wsp:rsid wsp:val=&quot;001E3FBA&quot;/&gt;&lt;wsp:rsid wsp:val=&quot;001E42B4&quot;/&gt;&lt;wsp:rsid wsp:val=&quot;001E4900&quot;/&gt;&lt;wsp:rsid wsp:val=&quot;001E5A3C&quot;/&gt;&lt;wsp:rsid wsp:val=&quot;001E5B1A&quot;/&gt;&lt;wsp:rsid wsp:val=&quot;001E6307&quot;/&gt;&lt;wsp:rsid wsp:val=&quot;001F098A&quot;/&gt;&lt;wsp:rsid wsp:val=&quot;001F3041&quot;/&gt;&lt;wsp:rsid wsp:val=&quot;001F4A92&quot;/&gt;&lt;wsp:rsid wsp:val=&quot;001F5C10&quot;/&gt;&lt;wsp:rsid wsp:val=&quot;001F636F&quot;/&gt;&lt;wsp:rsid wsp:val=&quot;001F75CE&quot;/&gt;&lt;wsp:rsid wsp:val=&quot;00200B80&quot;/&gt;&lt;wsp:rsid wsp:val=&quot;002010B6&quot;/&gt;&lt;wsp:rsid wsp:val=&quot;00202255&quot;/&gt;&lt;wsp:rsid wsp:val=&quot;002054D1&quot;/&gt;&lt;wsp:rsid wsp:val=&quot;002054D2&quot;/&gt;&lt;wsp:rsid wsp:val=&quot;0020556B&quot;/&gt;&lt;wsp:rsid wsp:val=&quot;002065DB&quot;/&gt;&lt;wsp:rsid wsp:val=&quot;0020715A&quot;/&gt;&lt;wsp:rsid wsp:val=&quot;00207B44&quot;/&gt;&lt;wsp:rsid wsp:val=&quot;002101C7&quot;/&gt;&lt;wsp:rsid wsp:val=&quot;00210CEB&quot;/&gt;&lt;wsp:rsid wsp:val=&quot;0021370C&quot;/&gt;&lt;wsp:rsid wsp:val=&quot;00214312&quot;/&gt;&lt;wsp:rsid wsp:val=&quot;0021548E&quot;/&gt;&lt;wsp:rsid wsp:val=&quot;00221E24&quot;/&gt;&lt;wsp:rsid wsp:val=&quot;0022381B&quot;/&gt;&lt;wsp:rsid wsp:val=&quot;002240C7&quot;/&gt;&lt;wsp:rsid wsp:val=&quot;0022525E&quot;/&gt;&lt;wsp:rsid wsp:val=&quot;00227656&quot;/&gt;&lt;wsp:rsid wsp:val=&quot;0023669B&quot;/&gt;&lt;wsp:rsid wsp:val=&quot;00237D71&quot;/&gt;&lt;wsp:rsid wsp:val=&quot;002409DC&quot;/&gt;&lt;wsp:rsid wsp:val=&quot;00243BD0&quot;/&gt;&lt;wsp:rsid wsp:val=&quot;002460B8&quot;/&gt;&lt;wsp:rsid wsp:val=&quot;0024749F&quot;/&gt;&lt;wsp:rsid wsp:val=&quot;0025044E&quot;/&gt;&lt;wsp:rsid wsp:val=&quot;00250525&quot;/&gt;&lt;wsp:rsid wsp:val=&quot;0025237E&quot;/&gt;&lt;wsp:rsid wsp:val=&quot;002528A7&quot;/&gt;&lt;wsp:rsid wsp:val=&quot;00253500&quot;/&gt;&lt;wsp:rsid wsp:val=&quot;00254401&quot;/&gt;&lt;wsp:rsid wsp:val=&quot;002559F6&quot;/&gt;&lt;wsp:rsid wsp:val=&quot;00255F92&quot;/&gt;&lt;wsp:rsid wsp:val=&quot;002564A7&quot;/&gt;&lt;wsp:rsid wsp:val=&quot;00257A0F&quot;/&gt;&lt;wsp:rsid wsp:val=&quot;00260D04&quot;/&gt;&lt;wsp:rsid wsp:val=&quot;002640F6&quot;/&gt;&lt;wsp:rsid wsp:val=&quot;0026795E&quot;/&gt;&lt;wsp:rsid wsp:val=&quot;00270714&quot;/&gt;&lt;wsp:rsid wsp:val=&quot;00270B62&quot;/&gt;&lt;wsp:rsid wsp:val=&quot;00275871&quot;/&gt;&lt;wsp:rsid wsp:val=&quot;00277854&quot;/&gt;&lt;wsp:rsid wsp:val=&quot;002830BE&quot;/&gt;&lt;wsp:rsid wsp:val=&quot;00283F35&quot;/&gt;&lt;wsp:rsid wsp:val=&quot;00286A92&quot;/&gt;&lt;wsp:rsid wsp:val=&quot;00286F39&quot;/&gt;&lt;wsp:rsid wsp:val=&quot;0028768B&quot;/&gt;&lt;wsp:rsid wsp:val=&quot;00287714&quot;/&gt;&lt;wsp:rsid wsp:val=&quot;002908E4&quot;/&gt;&lt;wsp:rsid wsp:val=&quot;00290A81&quot;/&gt;&lt;wsp:rsid wsp:val=&quot;00291089&quot;/&gt;&lt;wsp:rsid wsp:val=&quot;00291934&quot;/&gt;&lt;wsp:rsid wsp:val=&quot;00293ACB&quot;/&gt;&lt;wsp:rsid wsp:val=&quot;00295CF2&quot;/&gt;&lt;wsp:rsid wsp:val=&quot;00297E2B&quot;/&gt;&lt;wsp:rsid wsp:val=&quot;002A2694&quot;/&gt;&lt;wsp:rsid wsp:val=&quot;002A2D29&quot;/&gt;&lt;wsp:rsid wsp:val=&quot;002A309C&quot;/&gt;&lt;wsp:rsid wsp:val=&quot;002A39F1&quot;/&gt;&lt;wsp:rsid wsp:val=&quot;002A41B1&quot;/&gt;&lt;wsp:rsid wsp:val=&quot;002A4475&quot;/&gt;&lt;wsp:rsid wsp:val=&quot;002A7DE4&quot;/&gt;&lt;wsp:rsid wsp:val=&quot;002B324F&quot;/&gt;&lt;wsp:rsid wsp:val=&quot;002B4303&quot;/&gt;&lt;wsp:rsid wsp:val=&quot;002B7D92&quot;/&gt;&lt;wsp:rsid wsp:val=&quot;002B7E43&quot;/&gt;&lt;wsp:rsid wsp:val=&quot;002C131A&quot;/&gt;&lt;wsp:rsid wsp:val=&quot;002C2850&quot;/&gt;&lt;wsp:rsid wsp:val=&quot;002C298F&quot;/&gt;&lt;wsp:rsid wsp:val=&quot;002C33FC&quot;/&gt;&lt;wsp:rsid wsp:val=&quot;002C44E0&quot;/&gt;&lt;wsp:rsid wsp:val=&quot;002C4A90&quot;/&gt;&lt;wsp:rsid wsp:val=&quot;002C6C7B&quot;/&gt;&lt;wsp:rsid wsp:val=&quot;002C73B2&quot;/&gt;&lt;wsp:rsid wsp:val=&quot;002C740E&quot;/&gt;&lt;wsp:rsid wsp:val=&quot;002C7A06&quot;/&gt;&lt;wsp:rsid wsp:val=&quot;002D0D48&quot;/&gt;&lt;wsp:rsid wsp:val=&quot;002D11A7&quot;/&gt;&lt;wsp:rsid wsp:val=&quot;002D3E8B&quot;/&gt;&lt;wsp:rsid wsp:val=&quot;002D45F4&quot;/&gt;&lt;wsp:rsid wsp:val=&quot;002D48B9&quot;/&gt;&lt;wsp:rsid wsp:val=&quot;002D51E6&quot;/&gt;&lt;wsp:rsid wsp:val=&quot;002D6517&quot;/&gt;&lt;wsp:rsid wsp:val=&quot;002D6EC7&quot;/&gt;&lt;wsp:rsid wsp:val=&quot;002D7182&quot;/&gt;&lt;wsp:rsid wsp:val=&quot;002D7466&quot;/&gt;&lt;wsp:rsid wsp:val=&quot;002D7A27&quot;/&gt;&lt;wsp:rsid wsp:val=&quot;002E1529&quot;/&gt;&lt;wsp:rsid wsp:val=&quot;002E1B25&quot;/&gt;&lt;wsp:rsid wsp:val=&quot;002E7205&quot;/&gt;&lt;wsp:rsid wsp:val=&quot;002F2566&quot;/&gt;&lt;wsp:rsid wsp:val=&quot;002F4C1E&quot;/&gt;&lt;wsp:rsid wsp:val=&quot;002F5D49&quot;/&gt;&lt;wsp:rsid wsp:val=&quot;002F79AC&quot;/&gt;&lt;wsp:rsid wsp:val=&quot;00301CD4&quot;/&gt;&lt;wsp:rsid wsp:val=&quot;00302FFE&quot;/&gt;&lt;wsp:rsid wsp:val=&quot;003031AD&quot;/&gt;&lt;wsp:rsid wsp:val=&quot;00304CD8&quot;/&gt;&lt;wsp:rsid wsp:val=&quot;003068B5&quot;/&gt;&lt;wsp:rsid wsp:val=&quot;00307197&quot;/&gt;&lt;wsp:rsid wsp:val=&quot;00310C22&quot;/&gt;&lt;wsp:rsid wsp:val=&quot;00311FBE&quot;/&gt;&lt;wsp:rsid wsp:val=&quot;00314B15&quot;/&gt;&lt;wsp:rsid wsp:val=&quot;00315966&quot;/&gt;&lt;wsp:rsid wsp:val=&quot;00316195&quot;/&gt;&lt;wsp:rsid wsp:val=&quot;003170A0&quot;/&gt;&lt;wsp:rsid wsp:val=&quot;0032126A&quot;/&gt;&lt;wsp:rsid wsp:val=&quot;00323548&quot;/&gt;&lt;wsp:rsid wsp:val=&quot;00323962&quot;/&gt;&lt;wsp:rsid wsp:val=&quot;003247B3&quot;/&gt;&lt;wsp:rsid wsp:val=&quot;00325AE0&quot;/&gt;&lt;wsp:rsid wsp:val=&quot;00325DE0&quot;/&gt;&lt;wsp:rsid wsp:val=&quot;003263DE&quot;/&gt;&lt;wsp:rsid wsp:val=&quot;00326629&quot;/&gt;&lt;wsp:rsid wsp:val=&quot;00326920&quot;/&gt;&lt;wsp:rsid wsp:val=&quot;00326E16&quot;/&gt;&lt;wsp:rsid wsp:val=&quot;00327B34&quot;/&gt;&lt;wsp:rsid wsp:val=&quot;00331543&quot;/&gt;&lt;wsp:rsid wsp:val=&quot;00331662&quot;/&gt;&lt;wsp:rsid wsp:val=&quot;00332E2E&quot;/&gt;&lt;wsp:rsid wsp:val=&quot;00332EAB&quot;/&gt;&lt;wsp:rsid wsp:val=&quot;00334A28&quot;/&gt;&lt;wsp:rsid wsp:val=&quot;00335348&quot;/&gt;&lt;wsp:rsid wsp:val=&quot;00335849&quot;/&gt;&lt;wsp:rsid wsp:val=&quot;00337248&quot;/&gt;&lt;wsp:rsid wsp:val=&quot;003410B6&quot;/&gt;&lt;wsp:rsid wsp:val=&quot;00341F90&quot;/&gt;&lt;wsp:rsid wsp:val=&quot;003430B7&quot;/&gt;&lt;wsp:rsid wsp:val=&quot;00354030&quot;/&gt;&lt;wsp:rsid wsp:val=&quot;00354CD5&quot;/&gt;&lt;wsp:rsid wsp:val=&quot;00354F64&quot;/&gt;&lt;wsp:rsid wsp:val=&quot;00354FC6&quot;/&gt;&lt;wsp:rsid wsp:val=&quot;0035782B&quot;/&gt;&lt;wsp:rsid wsp:val=&quot;003637C0&quot;/&gt;&lt;wsp:rsid wsp:val=&quot;00363808&quot;/&gt;&lt;wsp:rsid wsp:val=&quot;00363BFF&quot;/&gt;&lt;wsp:rsid wsp:val=&quot;00363D31&quot;/&gt;&lt;wsp:rsid wsp:val=&quot;00363E46&quot;/&gt;&lt;wsp:rsid wsp:val=&quot;00365193&quot;/&gt;&lt;wsp:rsid wsp:val=&quot;0036568C&quot;/&gt;&lt;wsp:rsid wsp:val=&quot;003668E2&quot;/&gt;&lt;wsp:rsid wsp:val=&quot;00367174&quot;/&gt;&lt;wsp:rsid wsp:val=&quot;00373085&quot;/&gt;&lt;wsp:rsid wsp:val=&quot;003730CD&quot;/&gt;&lt;wsp:rsid wsp:val=&quot;00373832&quot;/&gt;&lt;wsp:rsid wsp:val=&quot;00374770&quot;/&gt;&lt;wsp:rsid wsp:val=&quot;00374E4D&quot;/&gt;&lt;wsp:rsid wsp:val=&quot;003751FB&quot;/&gt;&lt;wsp:rsid wsp:val=&quot;003765C8&quot;/&gt;&lt;wsp:rsid wsp:val=&quot;00376B70&quot;/&gt;&lt;wsp:rsid wsp:val=&quot;003770C1&quot;/&gt;&lt;wsp:rsid wsp:val=&quot;003778D7&quot;/&gt;&lt;wsp:rsid wsp:val=&quot;00380BF4&quot;/&gt;&lt;wsp:rsid wsp:val=&quot;00382369&quot;/&gt;&lt;wsp:rsid wsp:val=&quot;00384C3C&quot;/&gt;&lt;wsp:rsid wsp:val=&quot;003876EE&quot;/&gt;&lt;wsp:rsid wsp:val=&quot;00387BFC&quot;/&gt;&lt;wsp:rsid wsp:val=&quot;00390AAE&quot;/&gt;&lt;wsp:rsid wsp:val=&quot;00391C24&quot;/&gt;&lt;wsp:rsid wsp:val=&quot;0039308F&quot;/&gt;&lt;wsp:rsid wsp:val=&quot;00394189&quot;/&gt;&lt;wsp:rsid wsp:val=&quot;00394671&quot;/&gt;&lt;wsp:rsid wsp:val=&quot;00397102&quot;/&gt;&lt;wsp:rsid wsp:val=&quot;003972AC&quot;/&gt;&lt;wsp:rsid wsp:val=&quot;00397E63&quot;/&gt;&lt;wsp:rsid wsp:val=&quot;003A088B&quot;/&gt;&lt;wsp:rsid wsp:val=&quot;003A08D5&quot;/&gt;&lt;wsp:rsid wsp:val=&quot;003A1EE5&quot;/&gt;&lt;wsp:rsid wsp:val=&quot;003A33E9&quot;/&gt;&lt;wsp:rsid wsp:val=&quot;003A4559&quot;/&gt;&lt;wsp:rsid wsp:val=&quot;003A4ED4&quot;/&gt;&lt;wsp:rsid wsp:val=&quot;003A71A5&quot;/&gt;&lt;wsp:rsid wsp:val=&quot;003B0835&quot;/&gt;&lt;wsp:rsid wsp:val=&quot;003B3326&quot;/&gt;&lt;wsp:rsid wsp:val=&quot;003B5084&quot;/&gt;&lt;wsp:rsid wsp:val=&quot;003C0311&quot;/&gt;&lt;wsp:rsid wsp:val=&quot;003C1021&quot;/&gt;&lt;wsp:rsid wsp:val=&quot;003C56B1&quot;/&gt;&lt;wsp:rsid wsp:val=&quot;003C6C82&quot;/&gt;&lt;wsp:rsid wsp:val=&quot;003D2EFC&quot;/&gt;&lt;wsp:rsid wsp:val=&quot;003D6CE6&quot;/&gt;&lt;wsp:rsid wsp:val=&quot;003D6ED0&quot;/&gt;&lt;wsp:rsid wsp:val=&quot;003D7B46&quot;/&gt;&lt;wsp:rsid wsp:val=&quot;003D7BFF&quot;/&gt;&lt;wsp:rsid wsp:val=&quot;003E06C9&quot;/&gt;&lt;wsp:rsid wsp:val=&quot;003E108E&quot;/&gt;&lt;wsp:rsid wsp:val=&quot;003E1A56&quot;/&gt;&lt;wsp:rsid wsp:val=&quot;003E1D00&quot;/&gt;&lt;wsp:rsid wsp:val=&quot;003E2A98&quot;/&gt;&lt;wsp:rsid wsp:val=&quot;003E40C5&quot;/&gt;&lt;wsp:rsid wsp:val=&quot;003E4413&quot;/&gt;&lt;wsp:rsid wsp:val=&quot;003E50C6&quot;/&gt;&lt;wsp:rsid wsp:val=&quot;003E57DC&quot;/&gt;&lt;wsp:rsid wsp:val=&quot;003E6E4E&quot;/&gt;&lt;wsp:rsid wsp:val=&quot;003F11CD&quot;/&gt;&lt;wsp:rsid wsp:val=&quot;003F3F29&quot;/&gt;&lt;wsp:rsid wsp:val=&quot;003F4472&quot;/&gt;&lt;wsp:rsid wsp:val=&quot;003F480C&quot;/&gt;&lt;wsp:rsid wsp:val=&quot;003F590A&quot;/&gt;&lt;wsp:rsid wsp:val=&quot;003F68E3&quot;/&gt;&lt;wsp:rsid wsp:val=&quot;0040178D&quot;/&gt;&lt;wsp:rsid wsp:val=&quot;00402194&quot;/&gt;&lt;wsp:rsid wsp:val=&quot;00403315&quot;/&gt;&lt;wsp:rsid wsp:val=&quot;00405788&quot;/&gt;&lt;wsp:rsid wsp:val=&quot;004103A2&quot;/&gt;&lt;wsp:rsid wsp:val=&quot;0041169F&quot;/&gt;&lt;wsp:rsid wsp:val=&quot;00411C63&quot;/&gt;&lt;wsp:rsid wsp:val=&quot;004126E1&quot;/&gt;&lt;wsp:rsid wsp:val=&quot;0041275B&quot;/&gt;&lt;wsp:rsid wsp:val=&quot;00413AE3&quot;/&gt;&lt;wsp:rsid wsp:val=&quot;00413D84&quot;/&gt;&lt;wsp:rsid wsp:val=&quot;00415D28&quot;/&gt;&lt;wsp:rsid wsp:val=&quot;00416268&quot;/&gt;&lt;wsp:rsid wsp:val=&quot;0041737D&quot;/&gt;&lt;wsp:rsid wsp:val=&quot;004207E4&quot;/&gt;&lt;wsp:rsid wsp:val=&quot;00424072&quot;/&gt;&lt;wsp:rsid wsp:val=&quot;00424210&quot;/&gt;&lt;wsp:rsid wsp:val=&quot;00425A9F&quot;/&gt;&lt;wsp:rsid wsp:val=&quot;00425E8B&quot;/&gt;&lt;wsp:rsid wsp:val=&quot;00427C2A&quot;/&gt;&lt;wsp:rsid wsp:val=&quot;0043054B&quot;/&gt;&lt;wsp:rsid wsp:val=&quot;0043124A&quot;/&gt;&lt;wsp:rsid wsp:val=&quot;00433539&quot;/&gt;&lt;wsp:rsid wsp:val=&quot;00434E68&quot;/&gt;&lt;wsp:rsid wsp:val=&quot;004402BB&quot;/&gt;&lt;wsp:rsid wsp:val=&quot;00441733&quot;/&gt;&lt;wsp:rsid wsp:val=&quot;004417E3&quot;/&gt;&lt;wsp:rsid wsp:val=&quot;00441FB3&quot;/&gt;&lt;wsp:rsid wsp:val=&quot;0044237F&quot;/&gt;&lt;wsp:rsid wsp:val=&quot;004435E2&quot;/&gt;&lt;wsp:rsid wsp:val=&quot;00445BF7&quot;/&gt;&lt;wsp:rsid wsp:val=&quot;00450303&quot;/&gt;&lt;wsp:rsid wsp:val=&quot;00452A9C&quot;/&gt;&lt;wsp:rsid wsp:val=&quot;00454369&quot;/&gt;&lt;wsp:rsid wsp:val=&quot;00454902&quot;/&gt;&lt;wsp:rsid wsp:val=&quot;00454D64&quot;/&gt;&lt;wsp:rsid wsp:val=&quot;00457620&quot;/&gt;&lt;wsp:rsid wsp:val=&quot;0046022E&quot;/&gt;&lt;wsp:rsid wsp:val=&quot;00460845&quot;/&gt;&lt;wsp:rsid wsp:val=&quot;00460E77&quot;/&gt;&lt;wsp:rsid wsp:val=&quot;004630EE&quot;/&gt;&lt;wsp:rsid wsp:val=&quot;00463FB6&quot;/&gt;&lt;wsp:rsid wsp:val=&quot;004675BB&quot;/&gt;&lt;wsp:rsid wsp:val=&quot;00470539&quot;/&gt;&lt;wsp:rsid wsp:val=&quot;004714F0&quot;/&gt;&lt;wsp:rsid wsp:val=&quot;00471742&quot;/&gt;&lt;wsp:rsid wsp:val=&quot;00472549&quot;/&gt;&lt;wsp:rsid wsp:val=&quot;00472B85&quot;/&gt;&lt;wsp:rsid wsp:val=&quot;00473AD9&quot;/&gt;&lt;wsp:rsid wsp:val=&quot;00473E92&quot;/&gt;&lt;wsp:rsid wsp:val=&quot;00473ED7&quot;/&gt;&lt;wsp:rsid wsp:val=&quot;00475CB5&quot;/&gt;&lt;wsp:rsid wsp:val=&quot;00475F88&quot;/&gt;&lt;wsp:rsid wsp:val=&quot;00480384&quot;/&gt;&lt;wsp:rsid wsp:val=&quot;00480D39&quot;/&gt;&lt;wsp:rsid wsp:val=&quot;00480D99&quot;/&gt;&lt;wsp:rsid wsp:val=&quot;0048136F&quot;/&gt;&lt;wsp:rsid wsp:val=&quot;00481EFB&quot;/&gt;&lt;wsp:rsid wsp:val=&quot;004829CD&quot;/&gt;&lt;wsp:rsid wsp:val=&quot;0048420E&quot;/&gt;&lt;wsp:rsid wsp:val=&quot;004854A5&quot;/&gt;&lt;wsp:rsid wsp:val=&quot;0048779C&quot;/&gt;&lt;wsp:rsid wsp:val=&quot;00487B3C&quot;/&gt;&lt;wsp:rsid wsp:val=&quot;00487D35&quot;/&gt;&lt;wsp:rsid wsp:val=&quot;004905BB&quot;/&gt;&lt;wsp:rsid wsp:val=&quot;004909CF&quot;/&gt;&lt;wsp:rsid wsp:val=&quot;00491711&quot;/&gt;&lt;wsp:rsid wsp:val=&quot;004923A0&quot;/&gt;&lt;wsp:rsid wsp:val=&quot;00492787&quot;/&gt;&lt;wsp:rsid wsp:val=&quot;00492C77&quot;/&gt;&lt;wsp:rsid wsp:val=&quot;0049405B&quot;/&gt;&lt;wsp:rsid wsp:val=&quot;004941D8&quot;/&gt;&lt;wsp:rsid wsp:val=&quot;00494D88&quot;/&gt;&lt;wsp:rsid wsp:val=&quot;00497C36&quot;/&gt;&lt;wsp:rsid wsp:val=&quot;004A01F5&quot;/&gt;&lt;wsp:rsid wsp:val=&quot;004A0467&quot;/&gt;&lt;wsp:rsid wsp:val=&quot;004A1533&quot;/&gt;&lt;wsp:rsid wsp:val=&quot;004A215D&quot;/&gt;&lt;wsp:rsid wsp:val=&quot;004A2218&quot;/&gt;&lt;wsp:rsid wsp:val=&quot;004A2A8B&quot;/&gt;&lt;wsp:rsid wsp:val=&quot;004A3C0A&quot;/&gt;&lt;wsp:rsid wsp:val=&quot;004A55E3&quot;/&gt;&lt;wsp:rsid wsp:val=&quot;004B0981&quot;/&gt;&lt;wsp:rsid wsp:val=&quot;004B0A15&quot;/&gt;&lt;wsp:rsid wsp:val=&quot;004B4720&quot;/&gt;&lt;wsp:rsid wsp:val=&quot;004B49CD&quot;/&gt;&lt;wsp:rsid wsp:val=&quot;004B64B8&quot;/&gt;&lt;wsp:rsid wsp:val=&quot;004B722F&quot;/&gt;&lt;wsp:rsid wsp:val=&quot;004B7B48&quot;/&gt;&lt;wsp:rsid wsp:val=&quot;004C09FB&quot;/&gt;&lt;wsp:rsid wsp:val=&quot;004C10AE&quot;/&gt;&lt;wsp:rsid wsp:val=&quot;004C19ED&quot;/&gt;&lt;wsp:rsid wsp:val=&quot;004C2707&quot;/&gt;&lt;wsp:rsid wsp:val=&quot;004C2769&quot;/&gt;&lt;wsp:rsid wsp:val=&quot;004C30E3&quot;/&gt;&lt;wsp:rsid wsp:val=&quot;004C359C&quot;/&gt;&lt;wsp:rsid wsp:val=&quot;004C3F88&quot;/&gt;&lt;wsp:rsid wsp:val=&quot;004C6D76&quot;/&gt;&lt;wsp:rsid wsp:val=&quot;004C7BCB&quot;/&gt;&lt;wsp:rsid wsp:val=&quot;004D12A5&quot;/&gt;&lt;wsp:rsid wsp:val=&quot;004D13FB&quot;/&gt;&lt;wsp:rsid wsp:val=&quot;004D5332&quot;/&gt;&lt;wsp:rsid wsp:val=&quot;004D7220&quot;/&gt;&lt;wsp:rsid wsp:val=&quot;004D7923&quot;/&gt;&lt;wsp:rsid wsp:val=&quot;004E04EF&quot;/&gt;&lt;wsp:rsid wsp:val=&quot;004E084D&quot;/&gt;&lt;wsp:rsid wsp:val=&quot;004E0F38&quot;/&gt;&lt;wsp:rsid wsp:val=&quot;004E0F6E&quot;/&gt;&lt;wsp:rsid wsp:val=&quot;004E1B61&quot;/&gt;&lt;wsp:rsid wsp:val=&quot;004E323C&quot;/&gt;&lt;wsp:rsid wsp:val=&quot;004E4309&quot;/&gt;&lt;wsp:rsid wsp:val=&quot;004E56FD&quot;/&gt;&lt;wsp:rsid wsp:val=&quot;004F002E&quot;/&gt;&lt;wsp:rsid wsp:val=&quot;004F1336&quot;/&gt;&lt;wsp:rsid wsp:val=&quot;004F30F1&quot;/&gt;&lt;wsp:rsid wsp:val=&quot;004F3570&quot;/&gt;&lt;wsp:rsid wsp:val=&quot;004F68F2&quot;/&gt;&lt;wsp:rsid wsp:val=&quot;004F7C97&quot;/&gt;&lt;wsp:rsid wsp:val=&quot;00500E64&quot;/&gt;&lt;wsp:rsid wsp:val=&quot;00501335&quot;/&gt;&lt;wsp:rsid wsp:val=&quot;00501374&quot;/&gt;&lt;wsp:rsid wsp:val=&quot;0050232F&quot;/&gt;&lt;wsp:rsid wsp:val=&quot;00504CA6&quot;/&gt;&lt;wsp:rsid wsp:val=&quot;0050739A&quot;/&gt;&lt;wsp:rsid wsp:val=&quot;0051223F&quot;/&gt;&lt;wsp:rsid wsp:val=&quot;005136E6&quot;/&gt;&lt;wsp:rsid wsp:val=&quot;00513E3C&quot;/&gt;&lt;wsp:rsid wsp:val=&quot;00520C1B&quot;/&gt;&lt;wsp:rsid wsp:val=&quot;00520D65&quot;/&gt;&lt;wsp:rsid wsp:val=&quot;00520D66&quot;/&gt;&lt;wsp:rsid wsp:val=&quot;0052137F&quot;/&gt;&lt;wsp:rsid wsp:val=&quot;0052159B&quot;/&gt;&lt;wsp:rsid wsp:val=&quot;00522273&quot;/&gt;&lt;wsp:rsid wsp:val=&quot;0052258C&quot;/&gt;&lt;wsp:rsid wsp:val=&quot;0052294A&quot;/&gt;&lt;wsp:rsid wsp:val=&quot;0052319C&quot;/&gt;&lt;wsp:rsid wsp:val=&quot;00524D17&quot;/&gt;&lt;wsp:rsid wsp:val=&quot;00525A13&quot;/&gt;&lt;wsp:rsid wsp:val=&quot;00525F1D&quot;/&gt;&lt;wsp:rsid wsp:val=&quot;00526F6C&quot;/&gt;&lt;wsp:rsid wsp:val=&quot;0052742B&quot;/&gt;&lt;wsp:rsid wsp:val=&quot;00530A36&quot;/&gt;&lt;wsp:rsid wsp:val=&quot;00531DE8&quot;/&gt;&lt;wsp:rsid wsp:val=&quot;00532B8B&quot;/&gt;&lt;wsp:rsid wsp:val=&quot;00534732&quot;/&gt;&lt;wsp:rsid wsp:val=&quot;0053486B&quot;/&gt;&lt;wsp:rsid wsp:val=&quot;0053526E&quot;/&gt;&lt;wsp:rsid wsp:val=&quot;00541A2C&quot;/&gt;&lt;wsp:rsid wsp:val=&quot;00546364&quot;/&gt;&lt;wsp:rsid wsp:val=&quot;00547548&quot;/&gt;&lt;wsp:rsid wsp:val=&quot;00547A82&quot;/&gt;&lt;wsp:rsid wsp:val=&quot;00547D11&quot;/&gt;&lt;wsp:rsid wsp:val=&quot;00550DEB&quot;/&gt;&lt;wsp:rsid wsp:val=&quot;00552326&quot;/&gt;&lt;wsp:rsid wsp:val=&quot;00552B38&quot;/&gt;&lt;wsp:rsid wsp:val=&quot;00553D30&quot;/&gt;&lt;wsp:rsid wsp:val=&quot;00554ABA&quot;/&gt;&lt;wsp:rsid wsp:val=&quot;00555D8E&quot;/&gt;&lt;wsp:rsid wsp:val=&quot;005604B3&quot;/&gt;&lt;wsp:rsid wsp:val=&quot;00560E96&quot;/&gt;&lt;wsp:rsid wsp:val=&quot;0056190D&quot;/&gt;&lt;wsp:rsid wsp:val=&quot;00562470&quot;/&gt;&lt;wsp:rsid wsp:val=&quot;0056442A&quot;/&gt;&lt;wsp:rsid wsp:val=&quot;00564478&quot;/&gt;&lt;wsp:rsid wsp:val=&quot;00564B67&quot;/&gt;&lt;wsp:rsid wsp:val=&quot;00565093&quot;/&gt;&lt;wsp:rsid wsp:val=&quot;00566DFE&quot;/&gt;&lt;wsp:rsid wsp:val=&quot;00574E6C&quot;/&gt;&lt;wsp:rsid wsp:val=&quot;00576550&quot;/&gt;&lt;wsp:rsid wsp:val=&quot;00577A2D&quot;/&gt;&lt;wsp:rsid wsp:val=&quot;00580405&quot;/&gt;&lt;wsp:rsid wsp:val=&quot;00580F09&quot;/&gt;&lt;wsp:rsid wsp:val=&quot;00581CA0&quot;/&gt;&lt;wsp:rsid wsp:val=&quot;00582B02&quot;/&gt;&lt;wsp:rsid wsp:val=&quot;005839A9&quot;/&gt;&lt;wsp:rsid wsp:val=&quot;005845B5&quot;/&gt;&lt;wsp:rsid wsp:val=&quot;005855D5&quot;/&gt;&lt;wsp:rsid wsp:val=&quot;00585B88&quot;/&gt;&lt;wsp:rsid wsp:val=&quot;00585BB0&quot;/&gt;&lt;wsp:rsid wsp:val=&quot;00586754&quot;/&gt;&lt;wsp:rsid wsp:val=&quot;0058708B&quot;/&gt;&lt;wsp:rsid wsp:val=&quot;00587616&quot;/&gt;&lt;wsp:rsid wsp:val=&quot;005906A2&quot;/&gt;&lt;wsp:rsid wsp:val=&quot;00590770&quot;/&gt;&lt;wsp:rsid wsp:val=&quot;00592608&quot;/&gt;&lt;wsp:rsid wsp:val=&quot;00592E49&quot;/&gt;&lt;wsp:rsid wsp:val=&quot;00596E7F&quot;/&gt;&lt;wsp:rsid wsp:val=&quot;005973B3&quot;/&gt;&lt;wsp:rsid wsp:val=&quot;005977E6&quot;/&gt;&lt;wsp:rsid wsp:val=&quot;005A0B95&quot;/&gt;&lt;wsp:rsid wsp:val=&quot;005A0C91&quot;/&gt;&lt;wsp:rsid wsp:val=&quot;005A17FC&quot;/&gt;&lt;wsp:rsid wsp:val=&quot;005A4444&quot;/&gt;&lt;wsp:rsid wsp:val=&quot;005A5FC0&quot;/&gt;&lt;wsp:rsid wsp:val=&quot;005A64D1&quot;/&gt;&lt;wsp:rsid wsp:val=&quot;005B052D&quot;/&gt;&lt;wsp:rsid wsp:val=&quot;005B0DE9&quot;/&gt;&lt;wsp:rsid wsp:val=&quot;005B1EEE&quot;/&gt;&lt;wsp:rsid wsp:val=&quot;005B4154&quot;/&gt;&lt;wsp:rsid wsp:val=&quot;005B421A&quot;/&gt;&lt;wsp:rsid wsp:val=&quot;005B53EC&quot;/&gt;&lt;wsp:rsid wsp:val=&quot;005B6B4D&quot;/&gt;&lt;wsp:rsid wsp:val=&quot;005C0DDE&quot;/&gt;&lt;wsp:rsid wsp:val=&quot;005C357C&quot;/&gt;&lt;wsp:rsid wsp:val=&quot;005C4ADA&quot;/&gt;&lt;wsp:rsid wsp:val=&quot;005D0754&quot;/&gt;&lt;wsp:rsid wsp:val=&quot;005D145A&quot;/&gt;&lt;wsp:rsid wsp:val=&quot;005D20F5&quot;/&gt;&lt;wsp:rsid wsp:val=&quot;005D2A78&quot;/&gt;&lt;wsp:rsid wsp:val=&quot;005E0699&quot;/&gt;&lt;wsp:rsid wsp:val=&quot;005E1B07&quot;/&gt;&lt;wsp:rsid wsp:val=&quot;005E2A95&quot;/&gt;&lt;wsp:rsid wsp:val=&quot;005E2E14&quot;/&gt;&lt;wsp:rsid wsp:val=&quot;005E5CF3&quot;/&gt;&lt;wsp:rsid wsp:val=&quot;005E638B&quot;/&gt;&lt;wsp:rsid wsp:val=&quot;005F0079&quot;/&gt;&lt;wsp:rsid wsp:val=&quot;005F08FB&quot;/&gt;&lt;wsp:rsid wsp:val=&quot;005F1732&quot;/&gt;&lt;wsp:rsid wsp:val=&quot;005F2E05&quot;/&gt;&lt;wsp:rsid wsp:val=&quot;005F5D45&quot;/&gt;&lt;wsp:rsid wsp:val=&quot;005F620B&quot;/&gt;&lt;wsp:rsid wsp:val=&quot;005F685E&quot;/&gt;&lt;wsp:rsid wsp:val=&quot;005F7FA1&quot;/&gt;&lt;wsp:rsid wsp:val=&quot;0060026C&quot;/&gt;&lt;wsp:rsid wsp:val=&quot;006035C2&quot;/&gt;&lt;wsp:rsid wsp:val=&quot;0060401A&quot;/&gt;&lt;wsp:rsid wsp:val=&quot;006042F5&quot;/&gt;&lt;wsp:rsid wsp:val=&quot;006062F7&quot;/&gt;&lt;wsp:rsid wsp:val=&quot;00606A11&quot;/&gt;&lt;wsp:rsid wsp:val=&quot;006074E7&quot;/&gt;&lt;wsp:rsid wsp:val=&quot;0061119B&quot;/&gt;&lt;wsp:rsid wsp:val=&quot;006127F1&quot;/&gt;&lt;wsp:rsid wsp:val=&quot;0061493E&quot;/&gt;&lt;wsp:rsid wsp:val=&quot;00614FFE&quot;/&gt;&lt;wsp:rsid wsp:val=&quot;00617530&quot;/&gt;&lt;wsp:rsid wsp:val=&quot;006178DC&quot;/&gt;&lt;wsp:rsid wsp:val=&quot;00617E4F&quot;/&gt;&lt;wsp:rsid wsp:val=&quot;00620834&quot;/&gt;&lt;wsp:rsid wsp:val=&quot;00622303&quot;/&gt;&lt;wsp:rsid wsp:val=&quot;006229F9&quot;/&gt;&lt;wsp:rsid wsp:val=&quot;00623809&quot;/&gt;&lt;wsp:rsid wsp:val=&quot;00625F88&quot;/&gt;&lt;wsp:rsid wsp:val=&quot;0062715B&quot;/&gt;&lt;wsp:rsid wsp:val=&quot;0063119D&quot;/&gt;&lt;wsp:rsid wsp:val=&quot;00633812&quot;/&gt;&lt;wsp:rsid wsp:val=&quot;00634578&quot;/&gt;&lt;wsp:rsid wsp:val=&quot;00636E41&quot;/&gt;&lt;wsp:rsid wsp:val=&quot;00636F23&quot;/&gt;&lt;wsp:rsid wsp:val=&quot;00640066&quot;/&gt;&lt;wsp:rsid wsp:val=&quot;00654AD3&quot;/&gt;&lt;wsp:rsid wsp:val=&quot;00655341&quot;/&gt;&lt;wsp:rsid wsp:val=&quot;00655659&quot;/&gt;&lt;wsp:rsid wsp:val=&quot;00656F74&quot;/&gt;&lt;wsp:rsid wsp:val=&quot;006612BE&quot;/&gt;&lt;wsp:rsid wsp:val=&quot;006613C3&quot;/&gt;&lt;wsp:rsid wsp:val=&quot;00665002&quot;/&gt;&lt;wsp:rsid wsp:val=&quot;006662E3&quot;/&gt;&lt;wsp:rsid wsp:val=&quot;006665C0&quot;/&gt;&lt;wsp:rsid wsp:val=&quot;00670894&quot;/&gt;&lt;wsp:rsid wsp:val=&quot;00670F80&quot;/&gt;&lt;wsp:rsid wsp:val=&quot;00671663&quot;/&gt;&lt;wsp:rsid wsp:val=&quot;0067274F&quot;/&gt;&lt;wsp:rsid wsp:val=&quot;0067277D&quot;/&gt;&lt;wsp:rsid wsp:val=&quot;006728A5&quot;/&gt;&lt;wsp:rsid wsp:val=&quot;00673931&quot;/&gt;&lt;wsp:rsid wsp:val=&quot;006744AB&quot;/&gt;&lt;wsp:rsid wsp:val=&quot;00675398&quot;/&gt;&lt;wsp:rsid wsp:val=&quot;00676F3C&quot;/&gt;&lt;wsp:rsid wsp:val=&quot;0068020D&quot;/&gt;&lt;wsp:rsid wsp:val=&quot;006810D7&quot;/&gt;&lt;wsp:rsid wsp:val=&quot;006846D3&quot;/&gt;&lt;wsp:rsid wsp:val=&quot;00684B48&quot;/&gt;&lt;wsp:rsid wsp:val=&quot;006879A1&quot;/&gt;&lt;wsp:rsid wsp:val=&quot;006879C9&quot;/&gt;&lt;wsp:rsid wsp:val=&quot;00690745&quot;/&gt;&lt;wsp:rsid wsp:val=&quot;00692787&quot;/&gt;&lt;wsp:rsid wsp:val=&quot;006932B6&quot;/&gt;&lt;wsp:rsid wsp:val=&quot;00694213&quot;/&gt;&lt;wsp:rsid wsp:val=&quot;00695E05&quot;/&gt;&lt;wsp:rsid wsp:val=&quot;006A0899&quot;/&gt;&lt;wsp:rsid wsp:val=&quot;006A12F4&quot;/&gt;&lt;wsp:rsid wsp:val=&quot;006A1910&quot;/&gt;&lt;wsp:rsid wsp:val=&quot;006A1952&quot;/&gt;&lt;wsp:rsid wsp:val=&quot;006A25C2&quot;/&gt;&lt;wsp:rsid wsp:val=&quot;006A2FFB&quot;/&gt;&lt;wsp:rsid wsp:val=&quot;006A3D05&quot;/&gt;&lt;wsp:rsid wsp:val=&quot;006A47F4&quot;/&gt;&lt;wsp:rsid wsp:val=&quot;006A5554&quot;/&gt;&lt;wsp:rsid wsp:val=&quot;006A7B69&quot;/&gt;&lt;wsp:rsid wsp:val=&quot;006B052B&quot;/&gt;&lt;wsp:rsid wsp:val=&quot;006B1147&quot;/&gt;&lt;wsp:rsid wsp:val=&quot;006B1E0F&quot;/&gt;&lt;wsp:rsid wsp:val=&quot;006B487F&quot;/&gt;&lt;wsp:rsid wsp:val=&quot;006B5231&quot;/&gt;&lt;wsp:rsid wsp:val=&quot;006B590D&quot;/&gt;&lt;wsp:rsid wsp:val=&quot;006C42CD&quot;/&gt;&lt;wsp:rsid wsp:val=&quot;006C4C69&quot;/&gt;&lt;wsp:rsid wsp:val=&quot;006C5DAC&quot;/&gt;&lt;wsp:rsid wsp:val=&quot;006C724B&quot;/&gt;&lt;wsp:rsid wsp:val=&quot;006C782F&quot;/&gt;&lt;wsp:rsid wsp:val=&quot;006C7AFD&quot;/&gt;&lt;wsp:rsid wsp:val=&quot;006D040E&quot;/&gt;&lt;wsp:rsid wsp:val=&quot;006D2099&quot;/&gt;&lt;wsp:rsid wsp:val=&quot;006D3358&quot;/&gt;&lt;wsp:rsid wsp:val=&quot;006D4C96&quot;/&gt;&lt;wsp:rsid wsp:val=&quot;006D548C&quot;/&gt;&lt;wsp:rsid wsp:val=&quot;006D7509&quot;/&gt;&lt;wsp:rsid wsp:val=&quot;006D793D&quot;/&gt;&lt;wsp:rsid wsp:val=&quot;006E2188&quot;/&gt;&lt;wsp:rsid wsp:val=&quot;006E404B&quot;/&gt;&lt;wsp:rsid wsp:val=&quot;006E6E6A&quot;/&gt;&lt;wsp:rsid wsp:val=&quot;006F0C80&quot;/&gt;&lt;wsp:rsid wsp:val=&quot;006F4A1B&quot;/&gt;&lt;wsp:rsid wsp:val=&quot;00700A51&quot;/&gt;&lt;wsp:rsid wsp:val=&quot;00700C04&quot;/&gt;&lt;wsp:rsid wsp:val=&quot;007016E6&quot;/&gt;&lt;wsp:rsid wsp:val=&quot;00701CAC&quot;/&gt;&lt;wsp:rsid wsp:val=&quot;00701D31&quot;/&gt;&lt;wsp:rsid wsp:val=&quot;0070473F&quot;/&gt;&lt;wsp:rsid wsp:val=&quot;00711D1D&quot;/&gt;&lt;wsp:rsid wsp:val=&quot;007148C0&quot;/&gt;&lt;wsp:rsid wsp:val=&quot;007152A3&quot;/&gt;&lt;wsp:rsid wsp:val=&quot;00716EBC&quot;/&gt;&lt;wsp:rsid wsp:val=&quot;007177CF&quot;/&gt;&lt;wsp:rsid wsp:val=&quot;0072452D&quot;/&gt;&lt;wsp:rsid wsp:val=&quot;00727641&quot;/&gt;&lt;wsp:rsid wsp:val=&quot;00727702&quot;/&gt;&lt;wsp:rsid wsp:val=&quot;00730AA8&quot;/&gt;&lt;wsp:rsid wsp:val=&quot;007315AD&quot;/&gt;&lt;wsp:rsid wsp:val=&quot;00732DD2&quot;/&gt;&lt;wsp:rsid wsp:val=&quot;00733FDA&quot;/&gt;&lt;wsp:rsid wsp:val=&quot;00734446&quot;/&gt;&lt;wsp:rsid wsp:val=&quot;007361BC&quot;/&gt;&lt;wsp:rsid wsp:val=&quot;00740DDA&quot;/&gt;&lt;wsp:rsid wsp:val=&quot;00743B6D&quot;/&gt;&lt;wsp:rsid wsp:val=&quot;00743E1A&quot;/&gt;&lt;wsp:rsid wsp:val=&quot;00746C8F&quot;/&gt;&lt;wsp:rsid wsp:val=&quot;0074705E&quot;/&gt;&lt;wsp:rsid wsp:val=&quot;00747062&quot;/&gt;&lt;wsp:rsid wsp:val=&quot;00750781&quot;/&gt;&lt;wsp:rsid wsp:val=&quot;00751CCB&quot;/&gt;&lt;wsp:rsid wsp:val=&quot;007521D7&quot;/&gt;&lt;wsp:rsid wsp:val=&quot;00753057&quot;/&gt;&lt;wsp:rsid wsp:val=&quot;00753409&quot;/&gt;&lt;wsp:rsid wsp:val=&quot;00754240&quot;/&gt;&lt;wsp:rsid wsp:val=&quot;007548F9&quot;/&gt;&lt;wsp:rsid wsp:val=&quot;00755ACA&quot;/&gt;&lt;wsp:rsid wsp:val=&quot;00760A5E&quot;/&gt;&lt;wsp:rsid wsp:val=&quot;00761D75&quot;/&gt;&lt;wsp:rsid wsp:val=&quot;00762104&quot;/&gt;&lt;wsp:rsid wsp:val=&quot;00762FF6&quot;/&gt;&lt;wsp:rsid wsp:val=&quot;0076496E&quot;/&gt;&lt;wsp:rsid wsp:val=&quot;00764C6B&quot;/&gt;&lt;wsp:rsid wsp:val=&quot;007724B8&quot;/&gt;&lt;wsp:rsid wsp:val=&quot;0077267D&quot;/&gt;&lt;wsp:rsid wsp:val=&quot;007740C9&quot;/&gt;&lt;wsp:rsid wsp:val=&quot;00775A0D&quot;/&gt;&lt;wsp:rsid wsp:val=&quot;00776353&quot;/&gt;&lt;wsp:rsid wsp:val=&quot;00776D8B&quot;/&gt;&lt;wsp:rsid wsp:val=&quot;00776F9D&quot;/&gt;&lt;wsp:rsid wsp:val=&quot;00777453&quot;/&gt;&lt;wsp:rsid wsp:val=&quot;00777D84&quot;/&gt;&lt;wsp:rsid wsp:val=&quot;00780126&quot;/&gt;&lt;wsp:rsid wsp:val=&quot;00780B35&quot;/&gt;&lt;wsp:rsid wsp:val=&quot;0078215A&quot;/&gt;&lt;wsp:rsid wsp:val=&quot;00782D0D&quot;/&gt;&lt;wsp:rsid wsp:val=&quot;0078392F&quot;/&gt;&lt;wsp:rsid wsp:val=&quot;00783D7E&quot;/&gt;&lt;wsp:rsid wsp:val=&quot;00783E19&quot;/&gt;&lt;wsp:rsid wsp:val=&quot;00786C92&quot;/&gt;&lt;wsp:rsid wsp:val=&quot;00787213&quot;/&gt;&lt;wsp:rsid wsp:val=&quot;0079010A&quot;/&gt;&lt;wsp:rsid wsp:val=&quot;00791917&quot;/&gt;&lt;wsp:rsid wsp:val=&quot;00791A23&quot;/&gt;&lt;wsp:rsid wsp:val=&quot;00791DF8&quot;/&gt;&lt;wsp:rsid wsp:val=&quot;00792009&quot;/&gt;&lt;wsp:rsid wsp:val=&quot;0079354A&quot;/&gt;&lt;wsp:rsid wsp:val=&quot;00794CD6&quot;/&gt;&lt;wsp:rsid wsp:val=&quot;007954E3&quot;/&gt;&lt;wsp:rsid wsp:val=&quot;00795DEA&quot;/&gt;&lt;wsp:rsid wsp:val=&quot;00795DF6&quot;/&gt;&lt;wsp:rsid wsp:val=&quot;00795E19&quot;/&gt;&lt;wsp:rsid wsp:val=&quot;00796CEE&quot;/&gt;&lt;wsp:rsid wsp:val=&quot;007974EE&quot;/&gt;&lt;wsp:rsid wsp:val=&quot;007976FC&quot;/&gt;&lt;wsp:rsid wsp:val=&quot;007A1375&quot;/&gt;&lt;wsp:rsid wsp:val=&quot;007A1BE5&quot;/&gt;&lt;wsp:rsid wsp:val=&quot;007A35DD&quot;/&gt;&lt;wsp:rsid wsp:val=&quot;007A3A85&quot;/&gt;&lt;wsp:rsid wsp:val=&quot;007A4152&quot;/&gt;&lt;wsp:rsid wsp:val=&quot;007A5045&quot;/&gt;&lt;wsp:rsid wsp:val=&quot;007A6717&quot;/&gt;&lt;wsp:rsid wsp:val=&quot;007A7706&quot;/&gt;&lt;wsp:rsid wsp:val=&quot;007B0AC2&quot;/&gt;&lt;wsp:rsid wsp:val=&quot;007B10A9&quot;/&gt;&lt;wsp:rsid wsp:val=&quot;007B3019&quot;/&gt;&lt;wsp:rsid wsp:val=&quot;007B35B8&quot;/&gt;&lt;wsp:rsid wsp:val=&quot;007B37EB&quot;/&gt;&lt;wsp:rsid wsp:val=&quot;007B3932&quot;/&gt;&lt;wsp:rsid wsp:val=&quot;007B3D4A&quot;/&gt;&lt;wsp:rsid wsp:val=&quot;007B3E44&quot;/&gt;&lt;wsp:rsid wsp:val=&quot;007B524D&quot;/&gt;&lt;wsp:rsid wsp:val=&quot;007B7465&quot;/&gt;&lt;wsp:rsid wsp:val=&quot;007C4FBD&quot;/&gt;&lt;wsp:rsid wsp:val=&quot;007C547E&quot;/&gt;&lt;wsp:rsid wsp:val=&quot;007D259D&quot;/&gt;&lt;wsp:rsid wsp:val=&quot;007D2DD1&quot;/&gt;&lt;wsp:rsid wsp:val=&quot;007D3D91&quot;/&gt;&lt;wsp:rsid wsp:val=&quot;007D44EC&quot;/&gt;&lt;wsp:rsid wsp:val=&quot;007D6223&quot;/&gt;&lt;wsp:rsid wsp:val=&quot;007E20A5&quot;/&gt;&lt;wsp:rsid wsp:val=&quot;007E2EEA&quot;/&gt;&lt;wsp:rsid wsp:val=&quot;007E4C4F&quot;/&gt;&lt;wsp:rsid wsp:val=&quot;007E5694&quot;/&gt;&lt;wsp:rsid wsp:val=&quot;007E6979&quot;/&gt;&lt;wsp:rsid wsp:val=&quot;007E7327&quot;/&gt;&lt;wsp:rsid wsp:val=&quot;007F0027&quot;/&gt;&lt;wsp:rsid wsp:val=&quot;007F0239&quot;/&gt;&lt;wsp:rsid wsp:val=&quot;007F0CD6&quot;/&gt;&lt;wsp:rsid wsp:val=&quot;007F0E4E&quot;/&gt;&lt;wsp:rsid wsp:val=&quot;007F1EA4&quot;/&gt;&lt;wsp:rsid wsp:val=&quot;007F29C1&quot;/&gt;&lt;wsp:rsid wsp:val=&quot;007F5333&quot;/&gt;&lt;wsp:rsid wsp:val=&quot;007F6278&quot;/&gt;&lt;wsp:rsid wsp:val=&quot;007F6406&quot;/&gt;&lt;wsp:rsid wsp:val=&quot;008007BE&quot;/&gt;&lt;wsp:rsid wsp:val=&quot;00800A95&quot;/&gt;&lt;wsp:rsid wsp:val=&quot;008012F8&quot;/&gt;&lt;wsp:rsid wsp:val=&quot;0080226C&quot;/&gt;&lt;wsp:rsid wsp:val=&quot;00802413&quot;/&gt;&lt;wsp:rsid wsp:val=&quot;0080338A&quot;/&gt;&lt;wsp:rsid wsp:val=&quot;00803C2A&quot;/&gt;&lt;wsp:rsid wsp:val=&quot;00803C74&quot;/&gt;&lt;wsp:rsid wsp:val=&quot;00803F95&quot;/&gt;&lt;wsp:rsid wsp:val=&quot;0080516B&quot;/&gt;&lt;wsp:rsid wsp:val=&quot;0080521D&quot;/&gt;&lt;wsp:rsid wsp:val=&quot;008059F8&quot;/&gt;&lt;wsp:rsid wsp:val=&quot;00806C82&quot;/&gt;&lt;wsp:rsid wsp:val=&quot;008070C1&quot;/&gt;&lt;wsp:rsid wsp:val=&quot;008071BF&quot;/&gt;&lt;wsp:rsid wsp:val=&quot;00810A57&quot;/&gt;&lt;wsp:rsid wsp:val=&quot;00811890&quot;/&gt;&lt;wsp:rsid wsp:val=&quot;00813B67&quot;/&gt;&lt;wsp:rsid wsp:val=&quot;00817E47&quot;/&gt;&lt;wsp:rsid wsp:val=&quot;00821521&quot;/&gt;&lt;wsp:rsid wsp:val=&quot;00821EAA&quot;/&gt;&lt;wsp:rsid wsp:val=&quot;0082252D&quot;/&gt;&lt;wsp:rsid wsp:val=&quot;00822B56&quot;/&gt;&lt;wsp:rsid wsp:val=&quot;00824534&quot;/&gt;&lt;wsp:rsid wsp:val=&quot;00825078&quot;/&gt;&lt;wsp:rsid wsp:val=&quot;0083293D&quot;/&gt;&lt;wsp:rsid wsp:val=&quot;008338F3&quot;/&gt;&lt;wsp:rsid wsp:val=&quot;00833E1E&quot;/&gt;&lt;wsp:rsid wsp:val=&quot;0083501F&quot;/&gt;&lt;wsp:rsid wsp:val=&quot;00835EA4&quot;/&gt;&lt;wsp:rsid wsp:val=&quot;0083632B&quot;/&gt;&lt;wsp:rsid wsp:val=&quot;00836631&quot;/&gt;&lt;wsp:rsid wsp:val=&quot;0084225B&quot;/&gt;&lt;wsp:rsid wsp:val=&quot;008429DA&quot;/&gt;&lt;wsp:rsid wsp:val=&quot;00842A1A&quot;/&gt;&lt;wsp:rsid wsp:val=&quot;008447BD&quot;/&gt;&lt;wsp:rsid wsp:val=&quot;00847060&quot;/&gt;&lt;wsp:rsid wsp:val=&quot;0084799F&quot;/&gt;&lt;wsp:rsid wsp:val=&quot;008516E6&quot;/&gt;&lt;wsp:rsid wsp:val=&quot;00851C34&quot;/&gt;&lt;wsp:rsid wsp:val=&quot;008533C3&quot;/&gt;&lt;wsp:rsid wsp:val=&quot;00853A55&quot;/&gt;&lt;wsp:rsid wsp:val=&quot;0085549E&quot;/&gt;&lt;wsp:rsid wsp:val=&quot;008560A0&quot;/&gt;&lt;wsp:rsid wsp:val=&quot;00857F22&quot;/&gt;&lt;wsp:rsid wsp:val=&quot;00860082&quot;/&gt;&lt;wsp:rsid wsp:val=&quot;00860B3C&quot;/&gt;&lt;wsp:rsid wsp:val=&quot;00862621&quot;/&gt;&lt;wsp:rsid wsp:val=&quot;00863EAA&quot;/&gt;&lt;wsp:rsid wsp:val=&quot;008653B7&quot;/&gt;&lt;wsp:rsid wsp:val=&quot;008657CE&quot;/&gt;&lt;wsp:rsid wsp:val=&quot;00865A71&quot;/&gt;&lt;wsp:rsid wsp:val=&quot;00870208&quot;/&gt;&lt;wsp:rsid wsp:val=&quot;00873DAE&quot;/&gt;&lt;wsp:rsid wsp:val=&quot;00874899&quot;/&gt;&lt;wsp:rsid wsp:val=&quot;008751F1&quot;/&gt;&lt;wsp:rsid wsp:val=&quot;008756D4&quot;/&gt;&lt;wsp:rsid wsp:val=&quot;00875E17&quot;/&gt;&lt;wsp:rsid wsp:val=&quot;008761EA&quot;/&gt;&lt;wsp:rsid wsp:val=&quot;00877014&quot;/&gt;&lt;wsp:rsid wsp:val=&quot;00877709&quot;/&gt;&lt;wsp:rsid wsp:val=&quot;008801FD&quot;/&gt;&lt;wsp:rsid wsp:val=&quot;00882C38&quot;/&gt;&lt;wsp:rsid wsp:val=&quot;008837FB&quot;/&gt;&lt;wsp:rsid wsp:val=&quot;00884070&quot;/&gt;&lt;wsp:rsid wsp:val=&quot;00886F7C&quot;/&gt;&lt;wsp:rsid wsp:val=&quot;008875E2&quot;/&gt;&lt;wsp:rsid wsp:val=&quot;008876FB&quot;/&gt;&lt;wsp:rsid wsp:val=&quot;00890740&quot;/&gt;&lt;wsp:rsid wsp:val=&quot;00891567&quot;/&gt;&lt;wsp:rsid wsp:val=&quot;008923BE&quot;/&gt;&lt;wsp:rsid wsp:val=&quot;008930D9&quot;/&gt;&lt;wsp:rsid wsp:val=&quot;00893EBB&quot;/&gt;&lt;wsp:rsid wsp:val=&quot;00896F76&quot;/&gt;&lt;wsp:rsid wsp:val=&quot;00897F80&quot;/&gt;&lt;wsp:rsid wsp:val=&quot;008A0CA5&quot;/&gt;&lt;wsp:rsid wsp:val=&quot;008A12FE&quot;/&gt;&lt;wsp:rsid wsp:val=&quot;008A1BEE&quot;/&gt;&lt;wsp:rsid wsp:val=&quot;008A4816&quot;/&gt;&lt;wsp:rsid wsp:val=&quot;008A4AE4&quot;/&gt;&lt;wsp:rsid wsp:val=&quot;008A688A&quot;/&gt;&lt;wsp:rsid wsp:val=&quot;008A7912&quot;/&gt;&lt;wsp:rsid wsp:val=&quot;008A7C79&quot;/&gt;&lt;wsp:rsid wsp:val=&quot;008A7EB5&quot;/&gt;&lt;wsp:rsid wsp:val=&quot;008B1993&quot;/&gt;&lt;wsp:rsid wsp:val=&quot;008B3149&quot;/&gt;&lt;wsp:rsid wsp:val=&quot;008B4D4E&quot;/&gt;&lt;wsp:rsid wsp:val=&quot;008B7EC3&quot;/&gt;&lt;wsp:rsid wsp:val=&quot;008C0E73&quot;/&gt;&lt;wsp:rsid wsp:val=&quot;008C2DD9&quot;/&gt;&lt;wsp:rsid wsp:val=&quot;008C37ED&quot;/&gt;&lt;wsp:rsid wsp:val=&quot;008C3886&quot;/&gt;&lt;wsp:rsid wsp:val=&quot;008C457C&quot;/&gt;&lt;wsp:rsid wsp:val=&quot;008C4F84&quot;/&gt;&lt;wsp:rsid wsp:val=&quot;008C4FEA&quot;/&gt;&lt;wsp:rsid wsp:val=&quot;008C5A8C&quot;/&gt;&lt;wsp:rsid wsp:val=&quot;008C6DC3&quot;/&gt;&lt;wsp:rsid wsp:val=&quot;008D0021&quot;/&gt;&lt;wsp:rsid wsp:val=&quot;008D1481&quot;/&gt;&lt;wsp:rsid wsp:val=&quot;008D2F4C&quot;/&gt;&lt;wsp:rsid wsp:val=&quot;008D3C12&quot;/&gt;&lt;wsp:rsid wsp:val=&quot;008D41AF&quot;/&gt;&lt;wsp:rsid wsp:val=&quot;008D5202&quot;/&gt;&lt;wsp:rsid wsp:val=&quot;008D5B5E&quot;/&gt;&lt;wsp:rsid wsp:val=&quot;008D5C4D&quot;/&gt;&lt;wsp:rsid wsp:val=&quot;008D66C2&quot;/&gt;&lt;wsp:rsid wsp:val=&quot;008E229D&quot;/&gt;&lt;wsp:rsid wsp:val=&quot;008E2F38&quot;/&gt;&lt;wsp:rsid wsp:val=&quot;008E3152&quot;/&gt;&lt;wsp:rsid wsp:val=&quot;008E3175&quot;/&gt;&lt;wsp:rsid wsp:val=&quot;008E4C1B&quot;/&gt;&lt;wsp:rsid wsp:val=&quot;008E635D&quot;/&gt;&lt;wsp:rsid wsp:val=&quot;008E73A7&quot;/&gt;&lt;wsp:rsid wsp:val=&quot;008E7EEE&quot;/&gt;&lt;wsp:rsid wsp:val=&quot;008F21D2&quot;/&gt;&lt;wsp:rsid wsp:val=&quot;008F29E4&quot;/&gt;&lt;wsp:rsid wsp:val=&quot;008F3A90&quot;/&gt;&lt;wsp:rsid wsp:val=&quot;008F4F7E&quot;/&gt;&lt;wsp:rsid wsp:val=&quot;008F5936&quot;/&gt;&lt;wsp:rsid wsp:val=&quot;008F6F37&quot;/&gt;&lt;wsp:rsid wsp:val=&quot;00900572&quot;/&gt;&lt;wsp:rsid wsp:val=&quot;00900BB3&quot;/&gt;&lt;wsp:rsid wsp:val=&quot;0090252F&quot;/&gt;&lt;wsp:rsid wsp:val=&quot;0090310A&quot;/&gt;&lt;wsp:rsid wsp:val=&quot;0090360C&quot;/&gt;&lt;wsp:rsid wsp:val=&quot;00903D17&quot;/&gt;&lt;wsp:rsid wsp:val=&quot;00905ACF&quot;/&gt;&lt;wsp:rsid wsp:val=&quot;00906296&quot;/&gt;&lt;wsp:rsid wsp:val=&quot;009109E9&quot;/&gt;&lt;wsp:rsid wsp:val=&quot;0091112E&quot;/&gt;&lt;wsp:rsid wsp:val=&quot;00911C9A&quot;/&gt;&lt;wsp:rsid wsp:val=&quot;00913F7C&quot;/&gt;&lt;wsp:rsid wsp:val=&quot;00914E58&quot;/&gt;&lt;wsp:rsid wsp:val=&quot;009165C7&quot;/&gt;&lt;wsp:rsid wsp:val=&quot;0091729E&quot;/&gt;&lt;wsp:rsid wsp:val=&quot;00921F95&quot;/&gt;&lt;wsp:rsid wsp:val=&quot;00922E7E&quot;/&gt;&lt;wsp:rsid wsp:val=&quot;00924E01&quot;/&gt;&lt;wsp:rsid wsp:val=&quot;00925D0D&quot;/&gt;&lt;wsp:rsid wsp:val=&quot;00927445&quot;/&gt;&lt;wsp:rsid wsp:val=&quot;00927722&quot;/&gt;&lt;wsp:rsid wsp:val=&quot;00931AC7&quot;/&gt;&lt;wsp:rsid wsp:val=&quot;00932324&quot;/&gt;&lt;wsp:rsid wsp:val=&quot;00932C3C&quot;/&gt;&lt;wsp:rsid wsp:val=&quot;00932E54&quot;/&gt;&lt;wsp:rsid wsp:val=&quot;00933256&quot;/&gt;&lt;wsp:rsid wsp:val=&quot;00940020&quot;/&gt;&lt;wsp:rsid wsp:val=&quot;00940200&quot;/&gt;&lt;wsp:rsid wsp:val=&quot;00942A0B&quot;/&gt;&lt;wsp:rsid wsp:val=&quot;00942A75&quot;/&gt;&lt;wsp:rsid wsp:val=&quot;00943753&quot;/&gt;&lt;wsp:rsid wsp:val=&quot;00945E7B&quot;/&gt;&lt;wsp:rsid wsp:val=&quot;00950346&quot;/&gt;&lt;wsp:rsid wsp:val=&quot;00952A98&quot;/&gt;&lt;wsp:rsid wsp:val=&quot;009559B1&quot;/&gt;&lt;wsp:rsid wsp:val=&quot;00955FAF&quot;/&gt;&lt;wsp:rsid wsp:val=&quot;00957239&quot;/&gt;&lt;wsp:rsid wsp:val=&quot;009574BD&quot;/&gt;&lt;wsp:rsid wsp:val=&quot;00957D21&quot;/&gt;&lt;wsp:rsid wsp:val=&quot;00960F69&quot;/&gt;&lt;wsp:rsid wsp:val=&quot;0096276A&quot;/&gt;&lt;wsp:rsid wsp:val=&quot;00966AF5&quot;/&gt;&lt;wsp:rsid wsp:val=&quot;00967159&quot;/&gt;&lt;wsp:rsid wsp:val=&quot;00967B6C&quot;/&gt;&lt;wsp:rsid wsp:val=&quot;00972502&quot;/&gt;&lt;wsp:rsid wsp:val=&quot;00972681&quot;/&gt;&lt;wsp:rsid wsp:val=&quot;00972C4B&quot;/&gt;&lt;wsp:rsid wsp:val=&quot;00975DE1&quot;/&gt;&lt;wsp:rsid wsp:val=&quot;00976117&quot;/&gt;&lt;wsp:rsid wsp:val=&quot;00981CA2&quot;/&gt;&lt;wsp:rsid wsp:val=&quot;00983486&quot;/&gt;&lt;wsp:rsid wsp:val=&quot;009841B0&quot;/&gt;&lt;wsp:rsid wsp:val=&quot;0098421B&quot;/&gt;&lt;wsp:rsid wsp:val=&quot;00984AB9&quot;/&gt;&lt;wsp:rsid wsp:val=&quot;009861EF&quot;/&gt;&lt;wsp:rsid wsp:val=&quot;00986D01&quot;/&gt;&lt;wsp:rsid wsp:val=&quot;00987507&quot;/&gt;&lt;wsp:rsid wsp:val=&quot;00990A4A&quot;/&gt;&lt;wsp:rsid wsp:val=&quot;0099147F&quot;/&gt;&lt;wsp:rsid wsp:val=&quot;00991962&quot;/&gt;&lt;wsp:rsid wsp:val=&quot;00992860&quot;/&gt;&lt;wsp:rsid wsp:val=&quot;009928A2&quot;/&gt;&lt;wsp:rsid wsp:val=&quot;00994050&quot;/&gt;&lt;wsp:rsid wsp:val=&quot;009952BA&quot;/&gt;&lt;wsp:rsid wsp:val=&quot;0099538C&quot;/&gt;&lt;wsp:rsid wsp:val=&quot;0099563F&quot;/&gt;&lt;wsp:rsid wsp:val=&quot;009963D6&quot;/&gt;&lt;wsp:rsid wsp:val=&quot;00997475&quot;/&gt;&lt;wsp:rsid wsp:val=&quot;009A070E&quot;/&gt;&lt;wsp:rsid wsp:val=&quot;009A0A37&quot;/&gt;&lt;wsp:rsid wsp:val=&quot;009A197D&quot;/&gt;&lt;wsp:rsid wsp:val=&quot;009A40AC&quot;/&gt;&lt;wsp:rsid wsp:val=&quot;009A41D1&quot;/&gt;&lt;wsp:rsid wsp:val=&quot;009A452F&quot;/&gt;&lt;wsp:rsid wsp:val=&quot;009A4FD6&quot;/&gt;&lt;wsp:rsid wsp:val=&quot;009A5B52&quot;/&gt;&lt;wsp:rsid wsp:val=&quot;009A68EC&quot;/&gt;&lt;wsp:rsid wsp:val=&quot;009A7C68&quot;/&gt;&lt;wsp:rsid wsp:val=&quot;009B0DC2&quot;/&gt;&lt;wsp:rsid wsp:val=&quot;009B253A&quot;/&gt;&lt;wsp:rsid wsp:val=&quot;009B5913&quot;/&gt;&lt;wsp:rsid wsp:val=&quot;009B7601&quot;/&gt;&lt;wsp:rsid wsp:val=&quot;009B7DE8&quot;/&gt;&lt;wsp:rsid wsp:val=&quot;009C0E44&quot;/&gt;&lt;wsp:rsid wsp:val=&quot;009C2D8B&quot;/&gt;&lt;wsp:rsid wsp:val=&quot;009C701B&quot;/&gt;&lt;wsp:rsid wsp:val=&quot;009C771E&quot;/&gt;&lt;wsp:rsid wsp:val=&quot;009D174D&quot;/&gt;&lt;wsp:rsid wsp:val=&quot;009D24BC&quot;/&gt;&lt;wsp:rsid wsp:val=&quot;009D3046&quot;/&gt;&lt;wsp:rsid wsp:val=&quot;009D3692&quot;/&gt;&lt;wsp:rsid wsp:val=&quot;009D3A1C&quot;/&gt;&lt;wsp:rsid wsp:val=&quot;009D4A22&quot;/&gt;&lt;wsp:rsid wsp:val=&quot;009D66FC&quot;/&gt;&lt;wsp:rsid wsp:val=&quot;009D6F1C&quot;/&gt;&lt;wsp:rsid wsp:val=&quot;009E001A&quot;/&gt;&lt;wsp:rsid wsp:val=&quot;009E0F7D&quot;/&gt;&lt;wsp:rsid wsp:val=&quot;009E3A03&quot;/&gt;&lt;wsp:rsid wsp:val=&quot;009E6630&quot;/&gt;&lt;wsp:rsid wsp:val=&quot;009E6E64&quot;/&gt;&lt;wsp:rsid wsp:val=&quot;009F06F1&quot;/&gt;&lt;wsp:rsid wsp:val=&quot;009F08C7&quot;/&gt;&lt;wsp:rsid wsp:val=&quot;009F1773&quot;/&gt;&lt;wsp:rsid wsp:val=&quot;009F3801&quot;/&gt;&lt;wsp:rsid wsp:val=&quot;009F4017&quot;/&gt;&lt;wsp:rsid wsp:val=&quot;00A00788&quot;/&gt;&lt;wsp:rsid wsp:val=&quot;00A00FA7&quot;/&gt;&lt;wsp:rsid wsp:val=&quot;00A011E5&quot;/&gt;&lt;wsp:rsid wsp:val=&quot;00A02098&quot;/&gt;&lt;wsp:rsid wsp:val=&quot;00A03AD5&quot;/&gt;&lt;wsp:rsid wsp:val=&quot;00A03BF0&quot;/&gt;&lt;wsp:rsid wsp:val=&quot;00A03FA7&quot;/&gt;&lt;wsp:rsid wsp:val=&quot;00A04E43&quot;/&gt;&lt;wsp:rsid wsp:val=&quot;00A04F9E&quot;/&gt;&lt;wsp:rsid wsp:val=&quot;00A06496&quot;/&gt;&lt;wsp:rsid wsp:val=&quot;00A076F9&quot;/&gt;&lt;wsp:rsid wsp:val=&quot;00A07FB8&quot;/&gt;&lt;wsp:rsid wsp:val=&quot;00A103E5&quot;/&gt;&lt;wsp:rsid wsp:val=&quot;00A1065F&quot;/&gt;&lt;wsp:rsid wsp:val=&quot;00A122C9&quot;/&gt;&lt;wsp:rsid wsp:val=&quot;00A12BBC&quot;/&gt;&lt;wsp:rsid wsp:val=&quot;00A16810&quot;/&gt;&lt;wsp:rsid wsp:val=&quot;00A179B7&quot;/&gt;&lt;wsp:rsid wsp:val=&quot;00A22C9F&quot;/&gt;&lt;wsp:rsid wsp:val=&quot;00A24353&quot;/&gt;&lt;wsp:rsid wsp:val=&quot;00A245C8&quot;/&gt;&lt;wsp:rsid wsp:val=&quot;00A245EA&quot;/&gt;&lt;wsp:rsid wsp:val=&quot;00A26AFA&quot;/&gt;&lt;wsp:rsid wsp:val=&quot;00A27884&quot;/&gt;&lt;wsp:rsid wsp:val=&quot;00A27E63&quot;/&gt;&lt;wsp:rsid wsp:val=&quot;00A322A6&quot;/&gt;&lt;wsp:rsid wsp:val=&quot;00A322CF&quot;/&gt;&lt;wsp:rsid wsp:val=&quot;00A36349&quot;/&gt;&lt;wsp:rsid wsp:val=&quot;00A431CA&quot;/&gt;&lt;wsp:rsid wsp:val=&quot;00A45DA3&quot;/&gt;&lt;wsp:rsid wsp:val=&quot;00A472A5&quot;/&gt;&lt;wsp:rsid wsp:val=&quot;00A47BE9&quot;/&gt;&lt;wsp:rsid wsp:val=&quot;00A47D77&quot;/&gt;&lt;wsp:rsid wsp:val=&quot;00A5081B&quot;/&gt;&lt;wsp:rsid wsp:val=&quot;00A50A62&quot;/&gt;&lt;wsp:rsid wsp:val=&quot;00A50ECE&quot;/&gt;&lt;wsp:rsid wsp:val=&quot;00A522CC&quot;/&gt;&lt;wsp:rsid wsp:val=&quot;00A52804&quot;/&gt;&lt;wsp:rsid wsp:val=&quot;00A52A32&quot;/&gt;&lt;wsp:rsid wsp:val=&quot;00A53B12&quot;/&gt;&lt;wsp:rsid wsp:val=&quot;00A558CC&quot;/&gt;&lt;wsp:rsid wsp:val=&quot;00A558F3&quot;/&gt;&lt;wsp:rsid wsp:val=&quot;00A563DD&quot;/&gt;&lt;wsp:rsid wsp:val=&quot;00A5686E&quot;/&gt;&lt;wsp:rsid wsp:val=&quot;00A57607&quot;/&gt;&lt;wsp:rsid wsp:val=&quot;00A6041C&quot;/&gt;&lt;wsp:rsid wsp:val=&quot;00A60EED&quot;/&gt;&lt;wsp:rsid wsp:val=&quot;00A61465&quot;/&gt;&lt;wsp:rsid wsp:val=&quot;00A61E34&quot;/&gt;&lt;wsp:rsid wsp:val=&quot;00A62405&quot;/&gt;&lt;wsp:rsid wsp:val=&quot;00A661D0&quot;/&gt;&lt;wsp:rsid wsp:val=&quot;00A674DA&quot;/&gt;&lt;wsp:rsid wsp:val=&quot;00A738FC&quot;/&gt;&lt;wsp:rsid wsp:val=&quot;00A805E9&quot;/&gt;&lt;wsp:rsid wsp:val=&quot;00A82CC5&quot;/&gt;&lt;wsp:rsid wsp:val=&quot;00A83438&quot;/&gt;&lt;wsp:rsid wsp:val=&quot;00A8383C&quot;/&gt;&lt;wsp:rsid wsp:val=&quot;00A83884&quot;/&gt;&lt;wsp:rsid wsp:val=&quot;00A85144&quot;/&gt;&lt;wsp:rsid wsp:val=&quot;00A85E9E&quot;/&gt;&lt;wsp:rsid wsp:val=&quot;00A924EB&quot;/&gt;&lt;wsp:rsid wsp:val=&quot;00A96AA1&quot;/&gt;&lt;wsp:rsid wsp:val=&quot;00AA0A4C&quot;/&gt;&lt;wsp:rsid wsp:val=&quot;00AA12D2&quot;/&gt;&lt;wsp:rsid wsp:val=&quot;00AA1E70&quot;/&gt;&lt;wsp:rsid wsp:val=&quot;00AA248F&quot;/&gt;&lt;wsp:rsid wsp:val=&quot;00AA33E4&quot;/&gt;&lt;wsp:rsid wsp:val=&quot;00AA3ABF&quot;/&gt;&lt;wsp:rsid wsp:val=&quot;00AA494B&quot;/&gt;&lt;wsp:rsid wsp:val=&quot;00AA51DF&quot;/&gt;&lt;wsp:rsid wsp:val=&quot;00AA582F&quot;/&gt;&lt;wsp:rsid wsp:val=&quot;00AB1AB0&quot;/&gt;&lt;wsp:rsid wsp:val=&quot;00AB1EDA&quot;/&gt;&lt;wsp:rsid wsp:val=&quot;00AB2292&quot;/&gt;&lt;wsp:rsid wsp:val=&quot;00AB2C81&quot;/&gt;&lt;wsp:rsid wsp:val=&quot;00AB4227&quot;/&gt;&lt;wsp:rsid wsp:val=&quot;00AB5D01&quot;/&gt;&lt;wsp:rsid wsp:val=&quot;00AC0034&quot;/&gt;&lt;wsp:rsid wsp:val=&quot;00AC2328&quot;/&gt;&lt;wsp:rsid wsp:val=&quot;00AC2F0D&quot;/&gt;&lt;wsp:rsid wsp:val=&quot;00AC3106&quot;/&gt;&lt;wsp:rsid wsp:val=&quot;00AC3EE4&quot;/&gt;&lt;wsp:rsid wsp:val=&quot;00AC5EC1&quot;/&gt;&lt;wsp:rsid wsp:val=&quot;00AC5F6E&quot;/&gt;&lt;wsp:rsid wsp:val=&quot;00AC6943&quot;/&gt;&lt;wsp:rsid wsp:val=&quot;00AC73FE&quot;/&gt;&lt;wsp:rsid wsp:val=&quot;00AC76DA&quot;/&gt;&lt;wsp:rsid wsp:val=&quot;00AD2A7E&quot;/&gt;&lt;wsp:rsid wsp:val=&quot;00AD37AA&quot;/&gt;&lt;wsp:rsid wsp:val=&quot;00AD622F&quot;/&gt;&lt;wsp:rsid wsp:val=&quot;00AE0282&quot;/&gt;&lt;wsp:rsid wsp:val=&quot;00AE1C0F&quot;/&gt;&lt;wsp:rsid wsp:val=&quot;00AE205D&quot;/&gt;&lt;wsp:rsid wsp:val=&quot;00AE3BA8&quot;/&gt;&lt;wsp:rsid wsp:val=&quot;00AE4266&quot;/&gt;&lt;wsp:rsid wsp:val=&quot;00AE5080&quot;/&gt;&lt;wsp:rsid wsp:val=&quot;00AE691B&quot;/&gt;&lt;wsp:rsid wsp:val=&quot;00AE7836&quot;/&gt;&lt;wsp:rsid wsp:val=&quot;00AF0F15&quot;/&gt;&lt;wsp:rsid wsp:val=&quot;00AF11C8&quot;/&gt;&lt;wsp:rsid wsp:val=&quot;00B02489&quot;/&gt;&lt;wsp:rsid wsp:val=&quot;00B02A42&quot;/&gt;&lt;wsp:rsid wsp:val=&quot;00B03F40&quot;/&gt;&lt;wsp:rsid wsp:val=&quot;00B05734&quot;/&gt;&lt;wsp:rsid wsp:val=&quot;00B06A13&quot;/&gt;&lt;wsp:rsid wsp:val=&quot;00B124EF&quot;/&gt;&lt;wsp:rsid wsp:val=&quot;00B12BDA&quot;/&gt;&lt;wsp:rsid wsp:val=&quot;00B12D21&quot;/&gt;&lt;wsp:rsid wsp:val=&quot;00B12DD2&quot;/&gt;&lt;wsp:rsid wsp:val=&quot;00B14137&quot;/&gt;&lt;wsp:rsid wsp:val=&quot;00B14592&quot;/&gt;&lt;wsp:rsid wsp:val=&quot;00B14EB2&quot;/&gt;&lt;wsp:rsid wsp:val=&quot;00B16F97&quot;/&gt;&lt;wsp:rsid wsp:val=&quot;00B17014&quot;/&gt;&lt;wsp:rsid wsp:val=&quot;00B20740&quot;/&gt;&lt;wsp:rsid wsp:val=&quot;00B214BD&quot;/&gt;&lt;wsp:rsid wsp:val=&quot;00B24C93&quot;/&gt;&lt;wsp:rsid wsp:val=&quot;00B26018&quot;/&gt;&lt;wsp:rsid wsp:val=&quot;00B27250&quot;/&gt;&lt;wsp:rsid wsp:val=&quot;00B31C57&quot;/&gt;&lt;wsp:rsid wsp:val=&quot;00B358E7&quot;/&gt;&lt;wsp:rsid wsp:val=&quot;00B36C1D&quot;/&gt;&lt;wsp:rsid wsp:val=&quot;00B401D1&quot;/&gt;&lt;wsp:rsid wsp:val=&quot;00B4222A&quot;/&gt;&lt;wsp:rsid wsp:val=&quot;00B50E31&quot;/&gt;&lt;wsp:rsid wsp:val=&quot;00B531DF&quot;/&gt;&lt;wsp:rsid wsp:val=&quot;00B5458C&quot;/&gt;&lt;wsp:rsid wsp:val=&quot;00B555A1&quot;/&gt;&lt;wsp:rsid wsp:val=&quot;00B63BF7&quot;/&gt;&lt;wsp:rsid wsp:val=&quot;00B64E59&quot;/&gt;&lt;wsp:rsid wsp:val=&quot;00B66E71&quot;/&gt;&lt;wsp:rsid wsp:val=&quot;00B677A6&quot;/&gt;&lt;wsp:rsid wsp:val=&quot;00B7078B&quot;/&gt;&lt;wsp:rsid wsp:val=&quot;00B711D1&quot;/&gt;&lt;wsp:rsid wsp:val=&quot;00B71C21&quot;/&gt;&lt;wsp:rsid wsp:val=&quot;00B7296A&quot;/&gt;&lt;wsp:rsid wsp:val=&quot;00B739F9&quot;/&gt;&lt;wsp:rsid wsp:val=&quot;00B779E1&quot;/&gt;&lt;wsp:rsid wsp:val=&quot;00B8004F&quot;/&gt;&lt;wsp:rsid wsp:val=&quot;00B80AEC&quot;/&gt;&lt;wsp:rsid wsp:val=&quot;00B80D1A&quot;/&gt;&lt;wsp:rsid wsp:val=&quot;00B835FC&quot;/&gt;&lt;wsp:rsid wsp:val=&quot;00B839CB&quot;/&gt;&lt;wsp:rsid wsp:val=&quot;00B86C81&quot;/&gt;&lt;wsp:rsid wsp:val=&quot;00B870B7&quot;/&gt;&lt;wsp:rsid wsp:val=&quot;00B9029B&quot;/&gt;&lt;wsp:rsid wsp:val=&quot;00B9144F&quot;/&gt;&lt;wsp:rsid wsp:val=&quot;00B91B67&quot;/&gt;&lt;wsp:rsid wsp:val=&quot;00B91F79&quot;/&gt;&lt;wsp:rsid wsp:val=&quot;00B94A88&quot;/&gt;&lt;wsp:rsid wsp:val=&quot;00B95EC2&quot;/&gt;&lt;wsp:rsid wsp:val=&quot;00B974D7&quot;/&gt;&lt;wsp:rsid wsp:val=&quot;00B97ACD&quot;/&gt;&lt;wsp:rsid wsp:val=&quot;00BA0EE5&quot;/&gt;&lt;wsp:rsid wsp:val=&quot;00BA1179&quot;/&gt;&lt;wsp:rsid wsp:val=&quot;00BA2F7C&quot;/&gt;&lt;wsp:rsid wsp:val=&quot;00BA30E6&quot;/&gt;&lt;wsp:rsid wsp:val=&quot;00BA3905&quot;/&gt;&lt;wsp:rsid wsp:val=&quot;00BA4290&quot;/&gt;&lt;wsp:rsid wsp:val=&quot;00BA50BD&quot;/&gt;&lt;wsp:rsid wsp:val=&quot;00BA6958&quot;/&gt;&lt;wsp:rsid wsp:val=&quot;00BA6D71&quot;/&gt;&lt;wsp:rsid wsp:val=&quot;00BA6F39&quot;/&gt;&lt;wsp:rsid wsp:val=&quot;00BB3960&quot;/&gt;&lt;wsp:rsid wsp:val=&quot;00BB4722&quot;/&gt;&lt;wsp:rsid wsp:val=&quot;00BB5EB6&quot;/&gt;&lt;wsp:rsid wsp:val=&quot;00BB6C23&quot;/&gt;&lt;wsp:rsid wsp:val=&quot;00BB77FC&quot;/&gt;&lt;wsp:rsid wsp:val=&quot;00BB7DFD&quot;/&gt;&lt;wsp:rsid wsp:val=&quot;00BC009C&quot;/&gt;&lt;wsp:rsid wsp:val=&quot;00BC0361&quot;/&gt;&lt;wsp:rsid wsp:val=&quot;00BC126C&quot;/&gt;&lt;wsp:rsid wsp:val=&quot;00BC1C0B&quot;/&gt;&lt;wsp:rsid wsp:val=&quot;00BC2A3E&quot;/&gt;&lt;wsp:rsid wsp:val=&quot;00BC3BFF&quot;/&gt;&lt;wsp:rsid wsp:val=&quot;00BC3F0E&quot;/&gt;&lt;wsp:rsid wsp:val=&quot;00BC4B14&quot;/&gt;&lt;wsp:rsid wsp:val=&quot;00BC6106&quot;/&gt;&lt;wsp:rsid wsp:val=&quot;00BC6927&quot;/&gt;&lt;wsp:rsid wsp:val=&quot;00BC6E93&quot;/&gt;&lt;wsp:rsid wsp:val=&quot;00BC7272&quot;/&gt;&lt;wsp:rsid wsp:val=&quot;00BC7453&quot;/&gt;&lt;wsp:rsid wsp:val=&quot;00BD0D8C&quot;/&gt;&lt;wsp:rsid wsp:val=&quot;00BD2928&quot;/&gt;&lt;wsp:rsid wsp:val=&quot;00BD4193&quot;/&gt;&lt;wsp:rsid wsp:val=&quot;00BD6077&quot;/&gt;&lt;wsp:rsid wsp:val=&quot;00BD712D&quot;/&gt;&lt;wsp:rsid wsp:val=&quot;00BE0214&quot;/&gt;&lt;wsp:rsid wsp:val=&quot;00BE2752&quot;/&gt;&lt;wsp:rsid wsp:val=&quot;00BE3053&quot;/&gt;&lt;wsp:rsid wsp:val=&quot;00BE3191&quot;/&gt;&lt;wsp:rsid wsp:val=&quot;00BE43CD&quot;/&gt;&lt;wsp:rsid wsp:val=&quot;00BE4617&quot;/&gt;&lt;wsp:rsid wsp:val=&quot;00BE53EB&quot;/&gt;&lt;wsp:rsid wsp:val=&quot;00BE68CF&quot;/&gt;&lt;wsp:rsid wsp:val=&quot;00BE6F3F&quot;/&gt;&lt;wsp:rsid wsp:val=&quot;00BF00E8&quot;/&gt;&lt;wsp:rsid wsp:val=&quot;00BF057C&quot;/&gt;&lt;wsp:rsid wsp:val=&quot;00BF0F85&quot;/&gt;&lt;wsp:rsid wsp:val=&quot;00BF1CDD&quot;/&gt;&lt;wsp:rsid wsp:val=&quot;00BF306C&quot;/&gt;&lt;wsp:rsid wsp:val=&quot;00BF4735&quot;/&gt;&lt;wsp:rsid wsp:val=&quot;00BF4C75&quot;/&gt;&lt;wsp:rsid wsp:val=&quot;00BF6358&quot;/&gt;&lt;wsp:rsid wsp:val=&quot;00BF65E7&quot;/&gt;&lt;wsp:rsid wsp:val=&quot;00BF7A45&quot;/&gt;&lt;wsp:rsid wsp:val=&quot;00BF7CF0&quot;/&gt;&lt;wsp:rsid wsp:val=&quot;00BF7E91&quot;/&gt;&lt;wsp:rsid wsp:val=&quot;00C01B97&quot;/&gt;&lt;wsp:rsid wsp:val=&quot;00C02527&quot;/&gt;&lt;wsp:rsid wsp:val=&quot;00C02720&quot;/&gt;&lt;wsp:rsid wsp:val=&quot;00C02FE3&quot;/&gt;&lt;wsp:rsid wsp:val=&quot;00C04339&quot;/&gt;&lt;wsp:rsid wsp:val=&quot;00C06EF1&quot;/&gt;&lt;wsp:rsid wsp:val=&quot;00C078DD&quot;/&gt;&lt;wsp:rsid wsp:val=&quot;00C119B1&quot;/&gt;&lt;wsp:rsid wsp:val=&quot;00C12449&quot;/&gt;&lt;wsp:rsid wsp:val=&quot;00C137CD&quot;/&gt;&lt;wsp:rsid wsp:val=&quot;00C16568&quot;/&gt;&lt;wsp:rsid wsp:val=&quot;00C170FD&quot;/&gt;&lt;wsp:rsid wsp:val=&quot;00C1732E&quot;/&gt;&lt;wsp:rsid wsp:val=&quot;00C20464&quot;/&gt;&lt;wsp:rsid wsp:val=&quot;00C2052A&quot;/&gt;&lt;wsp:rsid wsp:val=&quot;00C228E2&quot;/&gt;&lt;wsp:rsid wsp:val=&quot;00C22B1E&quot;/&gt;&lt;wsp:rsid wsp:val=&quot;00C24061&quot;/&gt;&lt;wsp:rsid wsp:val=&quot;00C25A82&quot;/&gt;&lt;wsp:rsid wsp:val=&quot;00C26788&quot;/&gt;&lt;wsp:rsid wsp:val=&quot;00C27D56&quot;/&gt;&lt;wsp:rsid wsp:val=&quot;00C312EE&quot;/&gt;&lt;wsp:rsid wsp:val=&quot;00C3375D&quot;/&gt;&lt;wsp:rsid wsp:val=&quot;00C3418B&quot;/&gt;&lt;wsp:rsid wsp:val=&quot;00C3681D&quot;/&gt;&lt;wsp:rsid wsp:val=&quot;00C37DDD&quot;/&gt;&lt;wsp:rsid wsp:val=&quot;00C41F9A&quot;/&gt;&lt;wsp:rsid wsp:val=&quot;00C42889&quot;/&gt;&lt;wsp:rsid wsp:val=&quot;00C433AF&quot;/&gt;&lt;wsp:rsid wsp:val=&quot;00C43F7E&quot;/&gt;&lt;wsp:rsid wsp:val=&quot;00C44118&quot;/&gt;&lt;wsp:rsid wsp:val=&quot;00C46137&quot;/&gt;&lt;wsp:rsid wsp:val=&quot;00C46E3C&quot;/&gt;&lt;wsp:rsid wsp:val=&quot;00C46EF2&quot;/&gt;&lt;wsp:rsid wsp:val=&quot;00C47C4B&quot;/&gt;&lt;wsp:rsid wsp:val=&quot;00C51754&quot;/&gt;&lt;wsp:rsid wsp:val=&quot;00C51BFD&quot;/&gt;&lt;wsp:rsid wsp:val=&quot;00C51E71&quot;/&gt;&lt;wsp:rsid wsp:val=&quot;00C530A1&quot;/&gt;&lt;wsp:rsid wsp:val=&quot;00C53CDF&quot;/&gt;&lt;wsp:rsid wsp:val=&quot;00C54A46&quot;/&gt;&lt;wsp:rsid wsp:val=&quot;00C56A6A&quot;/&gt;&lt;wsp:rsid wsp:val=&quot;00C574E8&quot;/&gt;&lt;wsp:rsid wsp:val=&quot;00C600A4&quot;/&gt;&lt;wsp:rsid wsp:val=&quot;00C60807&quot;/&gt;&lt;wsp:rsid wsp:val=&quot;00C6106D&quot;/&gt;&lt;wsp:rsid wsp:val=&quot;00C61F3A&quot;/&gt;&lt;wsp:rsid wsp:val=&quot;00C659C7&quot;/&gt;&lt;wsp:rsid wsp:val=&quot;00C7154F&quot;/&gt;&lt;wsp:rsid wsp:val=&quot;00C726D1&quot;/&gt;&lt;wsp:rsid wsp:val=&quot;00C73A1F&quot;/&gt;&lt;wsp:rsid wsp:val=&quot;00C747B4&quot;/&gt;&lt;wsp:rsid wsp:val=&quot;00C74C57&quot;/&gt;&lt;wsp:rsid wsp:val=&quot;00C7767D&quot;/&gt;&lt;wsp:rsid wsp:val=&quot;00C80A15&quot;/&gt;&lt;wsp:rsid wsp:val=&quot;00C83B48&quot;/&gt;&lt;wsp:rsid wsp:val=&quot;00C84F63&quot;/&gt;&lt;wsp:rsid wsp:val=&quot;00C90092&quot;/&gt;&lt;wsp:rsid wsp:val=&quot;00C928E6&quot;/&gt;&lt;wsp:rsid wsp:val=&quot;00C938A4&quot;/&gt;&lt;wsp:rsid wsp:val=&quot;00C93AC0&quot;/&gt;&lt;wsp:rsid wsp:val=&quot;00C94D13&quot;/&gt;&lt;wsp:rsid wsp:val=&quot;00C951FB&quot;/&gt;&lt;wsp:rsid wsp:val=&quot;00C95B16&quot;/&gt;&lt;wsp:rsid wsp:val=&quot;00C96376&quot;/&gt;&lt;wsp:rsid wsp:val=&quot;00C97516&quot;/&gt;&lt;wsp:rsid wsp:val=&quot;00C97D81&quot;/&gt;&lt;wsp:rsid wsp:val=&quot;00C97D98&quot;/&gt;&lt;wsp:rsid wsp:val=&quot;00CA2D1B&quot;/&gt;&lt;wsp:rsid wsp:val=&quot;00CA52CF&quot;/&gt;&lt;wsp:rsid wsp:val=&quot;00CA5CFE&quot;/&gt;&lt;wsp:rsid wsp:val=&quot;00CA7728&quot;/&gt;&lt;wsp:rsid wsp:val=&quot;00CB03F6&quot;/&gt;&lt;wsp:rsid wsp:val=&quot;00CB091B&quot;/&gt;&lt;wsp:rsid wsp:val=&quot;00CB0F44&quot;/&gt;&lt;wsp:rsid wsp:val=&quot;00CB1DD4&quot;/&gt;&lt;wsp:rsid wsp:val=&quot;00CB773C&quot;/&gt;&lt;wsp:rsid wsp:val=&quot;00CB792A&quot;/&gt;&lt;wsp:rsid wsp:val=&quot;00CC1D88&quot;/&gt;&lt;wsp:rsid wsp:val=&quot;00CC26F3&quot;/&gt;&lt;wsp:rsid wsp:val=&quot;00CC3922&quot;/&gt;&lt;wsp:rsid wsp:val=&quot;00CC3C6D&quot;/&gt;&lt;wsp:rsid wsp:val=&quot;00CC3FD7&quot;/&gt;&lt;wsp:rsid wsp:val=&quot;00CC4247&quot;/&gt;&lt;wsp:rsid wsp:val=&quot;00CC47D5&quot;/&gt;&lt;wsp:rsid wsp:val=&quot;00CC4EB7&quot;/&gt;&lt;wsp:rsid wsp:val=&quot;00CC5A7A&quot;/&gt;&lt;wsp:rsid wsp:val=&quot;00CC6667&quot;/&gt;&lt;wsp:rsid wsp:val=&quot;00CC74A3&quot;/&gt;&lt;wsp:rsid wsp:val=&quot;00CC7B15&quot;/&gt;&lt;wsp:rsid wsp:val=&quot;00CC7D21&quot;/&gt;&lt;wsp:rsid wsp:val=&quot;00CD33AD&quot;/&gt;&lt;wsp:rsid wsp:val=&quot;00CD3AB8&quot;/&gt;&lt;wsp:rsid wsp:val=&quot;00CD60E1&quot;/&gt;&lt;wsp:rsid wsp:val=&quot;00CD73AE&quot;/&gt;&lt;wsp:rsid wsp:val=&quot;00CE1944&quot;/&gt;&lt;wsp:rsid wsp:val=&quot;00CE1F5E&quot;/&gt;&lt;wsp:rsid wsp:val=&quot;00CE4C46&quot;/&gt;&lt;wsp:rsid wsp:val=&quot;00CE50FC&quot;/&gt;&lt;wsp:rsid wsp:val=&quot;00CE61D2&quot;/&gt;&lt;wsp:rsid wsp:val=&quot;00CF077A&quot;/&gt;&lt;wsp:rsid wsp:val=&quot;00CF0E79&quot;/&gt;&lt;wsp:rsid wsp:val=&quot;00CF1C70&quot;/&gt;&lt;wsp:rsid wsp:val=&quot;00CF22D2&quot;/&gt;&lt;wsp:rsid wsp:val=&quot;00CF2E96&quot;/&gt;&lt;wsp:rsid wsp:val=&quot;00CF6046&quot;/&gt;&lt;wsp:rsid wsp:val=&quot;00CF617A&quot;/&gt;&lt;wsp:rsid wsp:val=&quot;00CF6190&quot;/&gt;&lt;wsp:rsid wsp:val=&quot;00CF6FC4&quot;/&gt;&lt;wsp:rsid wsp:val=&quot;00CF71D9&quot;/&gt;&lt;wsp:rsid wsp:val=&quot;00D0140F&quot;/&gt;&lt;wsp:rsid wsp:val=&quot;00D02521&quot;/&gt;&lt;wsp:rsid wsp:val=&quot;00D05995&quot;/&gt;&lt;wsp:rsid wsp:val=&quot;00D07904&quot;/&gt;&lt;wsp:rsid wsp:val=&quot;00D106BE&quot;/&gt;&lt;wsp:rsid wsp:val=&quot;00D1232D&quot;/&gt;&lt;wsp:rsid wsp:val=&quot;00D12A38&quot;/&gt;&lt;wsp:rsid wsp:val=&quot;00D130D5&quot;/&gt;&lt;wsp:rsid wsp:val=&quot;00D13AB1&quot;/&gt;&lt;wsp:rsid wsp:val=&quot;00D156E9&quot;/&gt;&lt;wsp:rsid wsp:val=&quot;00D15A64&quot;/&gt;&lt;wsp:rsid wsp:val=&quot;00D15F9A&quot;/&gt;&lt;wsp:rsid wsp:val=&quot;00D172A2&quot;/&gt;&lt;wsp:rsid wsp:val=&quot;00D1765C&quot;/&gt;&lt;wsp:rsid wsp:val=&quot;00D206D5&quot;/&gt;&lt;wsp:rsid wsp:val=&quot;00D21D36&quot;/&gt;&lt;wsp:rsid wsp:val=&quot;00D220BD&quot;/&gt;&lt;wsp:rsid wsp:val=&quot;00D23314&quot;/&gt;&lt;wsp:rsid wsp:val=&quot;00D23321&quot;/&gt;&lt;wsp:rsid wsp:val=&quot;00D23EA5&quot;/&gt;&lt;wsp:rsid wsp:val=&quot;00D2408F&quot;/&gt;&lt;wsp:rsid wsp:val=&quot;00D30348&quot;/&gt;&lt;wsp:rsid wsp:val=&quot;00D30E7C&quot;/&gt;&lt;wsp:rsid wsp:val=&quot;00D32EDC&quot;/&gt;&lt;wsp:rsid wsp:val=&quot;00D34225&quot;/&gt;&lt;wsp:rsid wsp:val=&quot;00D34C43&quot;/&gt;&lt;wsp:rsid wsp:val=&quot;00D36A70&quot;/&gt;&lt;wsp:rsid wsp:val=&quot;00D378FD&quot;/&gt;&lt;wsp:rsid wsp:val=&quot;00D37AE4&quot;/&gt;&lt;wsp:rsid wsp:val=&quot;00D401FD&quot;/&gt;&lt;wsp:rsid wsp:val=&quot;00D40A82&quot;/&gt;&lt;wsp:rsid wsp:val=&quot;00D41DC3&quot;/&gt;&lt;wsp:rsid wsp:val=&quot;00D42538&quot;/&gt;&lt;wsp:rsid wsp:val=&quot;00D42EA1&quot;/&gt;&lt;wsp:rsid wsp:val=&quot;00D5100A&quot;/&gt;&lt;wsp:rsid wsp:val=&quot;00D5215E&quot;/&gt;&lt;wsp:rsid wsp:val=&quot;00D5306C&quot;/&gt;&lt;wsp:rsid wsp:val=&quot;00D530AC&quot;/&gt;&lt;wsp:rsid wsp:val=&quot;00D542B4&quot;/&gt;&lt;wsp:rsid wsp:val=&quot;00D5449B&quot;/&gt;&lt;wsp:rsid wsp:val=&quot;00D54817&quot;/&gt;&lt;wsp:rsid wsp:val=&quot;00D54F6C&quot;/&gt;&lt;wsp:rsid wsp:val=&quot;00D55D4F&quot;/&gt;&lt;wsp:rsid wsp:val=&quot;00D55E29&quot;/&gt;&lt;wsp:rsid wsp:val=&quot;00D565C2&quot;/&gt;&lt;wsp:rsid wsp:val=&quot;00D56A4B&quot;/&gt;&lt;wsp:rsid wsp:val=&quot;00D57CEF&quot;/&gt;&lt;wsp:rsid wsp:val=&quot;00D61676&quot;/&gt;&lt;wsp:rsid wsp:val=&quot;00D62128&quot;/&gt;&lt;wsp:rsid wsp:val=&quot;00D631D6&quot;/&gt;&lt;wsp:rsid wsp:val=&quot;00D63871&quot;/&gt;&lt;wsp:rsid wsp:val=&quot;00D646F7&quot;/&gt;&lt;wsp:rsid wsp:val=&quot;00D64A00&quot;/&gt;&lt;wsp:rsid wsp:val=&quot;00D65FD0&quot;/&gt;&lt;wsp:rsid wsp:val=&quot;00D67640&quot;/&gt;&lt;wsp:rsid wsp:val=&quot;00D716CC&quot;/&gt;&lt;wsp:rsid wsp:val=&quot;00D762A3&quot;/&gt;&lt;wsp:rsid wsp:val=&quot;00D81C9D&quot;/&gt;&lt;wsp:rsid wsp:val=&quot;00D81E8E&quot;/&gt;&lt;wsp:rsid wsp:val=&quot;00D82943&quot;/&gt;&lt;wsp:rsid wsp:val=&quot;00D83A0D&quot;/&gt;&lt;wsp:rsid wsp:val=&quot;00D8455A&quot;/&gt;&lt;wsp:rsid wsp:val=&quot;00D86320&quot;/&gt;&lt;wsp:rsid wsp:val=&quot;00D8684E&quot;/&gt;&lt;wsp:rsid wsp:val=&quot;00D87AA6&quot;/&gt;&lt;wsp:rsid wsp:val=&quot;00D92C17&quot;/&gt;&lt;wsp:rsid wsp:val=&quot;00D965CE&quot;/&gt;&lt;wsp:rsid wsp:val=&quot;00DA10EE&quot;/&gt;&lt;wsp:rsid wsp:val=&quot;00DA1677&quot;/&gt;&lt;wsp:rsid wsp:val=&quot;00DA51B1&quot;/&gt;&lt;wsp:rsid wsp:val=&quot;00DA5FDB&quot;/&gt;&lt;wsp:rsid wsp:val=&quot;00DA6840&quot;/&gt;&lt;wsp:rsid wsp:val=&quot;00DA7109&quot;/&gt;&lt;wsp:rsid wsp:val=&quot;00DA7D47&quot;/&gt;&lt;wsp:rsid wsp:val=&quot;00DB2D94&quot;/&gt;&lt;wsp:rsid wsp:val=&quot;00DB5C54&quot;/&gt;&lt;wsp:rsid wsp:val=&quot;00DB6DBF&quot;/&gt;&lt;wsp:rsid wsp:val=&quot;00DB6F4C&quot;/&gt;&lt;wsp:rsid wsp:val=&quot;00DC1FAD&quot;/&gt;&lt;wsp:rsid wsp:val=&quot;00DC45DE&quot;/&gt;&lt;wsp:rsid wsp:val=&quot;00DC4A16&quot;/&gt;&lt;wsp:rsid wsp:val=&quot;00DC6255&quot;/&gt;&lt;wsp:rsid wsp:val=&quot;00DD00CE&quot;/&gt;&lt;wsp:rsid wsp:val=&quot;00DD1C03&quot;/&gt;&lt;wsp:rsid wsp:val=&quot;00DD2CA7&quot;/&gt;&lt;wsp:rsid wsp:val=&quot;00DD4123&quot;/&gt;&lt;wsp:rsid wsp:val=&quot;00DD7684&quot;/&gt;&lt;wsp:rsid wsp:val=&quot;00DE09FC&quot;/&gt;&lt;wsp:rsid wsp:val=&quot;00DE22A0&quot;/&gt;&lt;wsp:rsid wsp:val=&quot;00DE2C92&quot;/&gt;&lt;wsp:rsid wsp:val=&quot;00DE3A7A&quot;/&gt;&lt;wsp:rsid wsp:val=&quot;00DE5718&quot;/&gt;&lt;wsp:rsid wsp:val=&quot;00DE762B&quot;/&gt;&lt;wsp:rsid wsp:val=&quot;00DE7AF9&quot;/&gt;&lt;wsp:rsid wsp:val=&quot;00DF0BCC&quot;/&gt;&lt;wsp:rsid wsp:val=&quot;00DF266B&quot;/&gt;&lt;wsp:rsid wsp:val=&quot;00DF36C1&quot;/&gt;&lt;wsp:rsid wsp:val=&quot;00DF3A56&quot;/&gt;&lt;wsp:rsid wsp:val=&quot;00DF4E8C&quot;/&gt;&lt;wsp:rsid wsp:val=&quot;00DF59F1&quot;/&gt;&lt;wsp:rsid wsp:val=&quot;00DF6E59&quot;/&gt;&lt;wsp:rsid wsp:val=&quot;00E01C90&quot;/&gt;&lt;wsp:rsid wsp:val=&quot;00E02993&quot;/&gt;&lt;wsp:rsid wsp:val=&quot;00E02A4C&quot;/&gt;&lt;wsp:rsid wsp:val=&quot;00E03D7E&quot;/&gt;&lt;wsp:rsid wsp:val=&quot;00E05D56&quot;/&gt;&lt;wsp:rsid wsp:val=&quot;00E07274&quot;/&gt;&lt;wsp:rsid wsp:val=&quot;00E10129&quot;/&gt;&lt;wsp:rsid wsp:val=&quot;00E117F6&quot;/&gt;&lt;wsp:rsid wsp:val=&quot;00E13114&quot;/&gt;&lt;wsp:rsid wsp:val=&quot;00E132C8&quot;/&gt;&lt;wsp:rsid wsp:val=&quot;00E138EA&quot;/&gt;&lt;wsp:rsid wsp:val=&quot;00E1394E&quot;/&gt;&lt;wsp:rsid wsp:val=&quot;00E14785&quot;/&gt;&lt;wsp:rsid wsp:val=&quot;00E15B93&quot;/&gt;&lt;wsp:rsid wsp:val=&quot;00E16EEF&quot;/&gt;&lt;wsp:rsid wsp:val=&quot;00E17266&quot;/&gt;&lt;wsp:rsid wsp:val=&quot;00E17C0B&quot;/&gt;&lt;wsp:rsid wsp:val=&quot;00E209B8&quot;/&gt;&lt;wsp:rsid wsp:val=&quot;00E212D1&quot;/&gt;&lt;wsp:rsid wsp:val=&quot;00E21767&quot;/&gt;&lt;wsp:rsid wsp:val=&quot;00E219CA&quot;/&gt;&lt;wsp:rsid wsp:val=&quot;00E21A40&quot;/&gt;&lt;wsp:rsid wsp:val=&quot;00E23314&quot;/&gt;&lt;wsp:rsid wsp:val=&quot;00E24004&quot;/&gt;&lt;wsp:rsid wsp:val=&quot;00E25FD7&quot;/&gt;&lt;wsp:rsid wsp:val=&quot;00E31A80&quot;/&gt;&lt;wsp:rsid wsp:val=&quot;00E325B5&quot;/&gt;&lt;wsp:rsid wsp:val=&quot;00E32764&quot;/&gt;&lt;wsp:rsid wsp:val=&quot;00E33371&quot;/&gt;&lt;wsp:rsid wsp:val=&quot;00E344BB&quot;/&gt;&lt;wsp:rsid wsp:val=&quot;00E42571&quot;/&gt;&lt;wsp:rsid wsp:val=&quot;00E429F9&quot;/&gt;&lt;wsp:rsid wsp:val=&quot;00E43331&quot;/&gt;&lt;wsp:rsid wsp:val=&quot;00E43436&quot;/&gt;&lt;wsp:rsid wsp:val=&quot;00E445A8&quot;/&gt;&lt;wsp:rsid wsp:val=&quot;00E45111&quot;/&gt;&lt;wsp:rsid wsp:val=&quot;00E4597D&quot;/&gt;&lt;wsp:rsid wsp:val=&quot;00E46647&quot;/&gt;&lt;wsp:rsid wsp:val=&quot;00E47369&quot;/&gt;&lt;wsp:rsid wsp:val=&quot;00E47373&quot;/&gt;&lt;wsp:rsid wsp:val=&quot;00E55080&quot;/&gt;&lt;wsp:rsid wsp:val=&quot;00E55DDA&quot;/&gt;&lt;wsp:rsid wsp:val=&quot;00E56538&quot;/&gt;&lt;wsp:rsid wsp:val=&quot;00E56CA1&quot;/&gt;&lt;wsp:rsid wsp:val=&quot;00E576CC&quot;/&gt;&lt;wsp:rsid wsp:val=&quot;00E60539&quot;/&gt;&lt;wsp:rsid wsp:val=&quot;00E60788&quot;/&gt;&lt;wsp:rsid wsp:val=&quot;00E607E4&quot;/&gt;&lt;wsp:rsid wsp:val=&quot;00E63339&quot;/&gt;&lt;wsp:rsid wsp:val=&quot;00E63430&quot;/&gt;&lt;wsp:rsid wsp:val=&quot;00E63770&quot;/&gt;&lt;wsp:rsid wsp:val=&quot;00E63789&quot;/&gt;&lt;wsp:rsid wsp:val=&quot;00E63F2F&quot;/&gt;&lt;wsp:rsid wsp:val=&quot;00E66C10&quot;/&gt;&lt;wsp:rsid wsp:val=&quot;00E66C36&quot;/&gt;&lt;wsp:rsid wsp:val=&quot;00E67019&quot;/&gt;&lt;wsp:rsid wsp:val=&quot;00E72BA8&quot;/&gt;&lt;wsp:rsid wsp:val=&quot;00E7426F&quot;/&gt;&lt;wsp:rsid wsp:val=&quot;00E74363&quot;/&gt;&lt;wsp:rsid wsp:val=&quot;00E761CB&quot;/&gt;&lt;wsp:rsid wsp:val=&quot;00E762B0&quot;/&gt;&lt;wsp:rsid wsp:val=&quot;00E77C4A&quot;/&gt;&lt;wsp:rsid wsp:val=&quot;00E81CB4&quot;/&gt;&lt;wsp:rsid wsp:val=&quot;00E8287D&quot;/&gt;&lt;wsp:rsid wsp:val=&quot;00E84CAD&quot;/&gt;&lt;wsp:rsid wsp:val=&quot;00E85789&quot;/&gt;&lt;wsp:rsid wsp:val=&quot;00E85976&quot;/&gt;&lt;wsp:rsid wsp:val=&quot;00E86730&quot;/&gt;&lt;wsp:rsid wsp:val=&quot;00E87783&quot;/&gt;&lt;wsp:rsid wsp:val=&quot;00E923D4&quot;/&gt;&lt;wsp:rsid wsp:val=&quot;00E92DD1&quot;/&gt;&lt;wsp:rsid wsp:val=&quot;00E94786&quot;/&gt;&lt;wsp:rsid wsp:val=&quot;00E94BE9&quot;/&gt;&lt;wsp:rsid wsp:val=&quot;00E959FB&quot;/&gt;&lt;wsp:rsid wsp:val=&quot;00E95F7F&quot;/&gt;&lt;wsp:rsid wsp:val=&quot;00EA04B9&quot;/&gt;&lt;wsp:rsid wsp:val=&quot;00EA096C&quot;/&gt;&lt;wsp:rsid wsp:val=&quot;00EA0B4B&quot;/&gt;&lt;wsp:rsid wsp:val=&quot;00EA12C8&quot;/&gt;&lt;wsp:rsid wsp:val=&quot;00EA1B56&quot;/&gt;&lt;wsp:rsid wsp:val=&quot;00EA3348&quot;/&gt;&lt;wsp:rsid wsp:val=&quot;00EA3C12&quot;/&gt;&lt;wsp:rsid wsp:val=&quot;00EA425A&quot;/&gt;&lt;wsp:rsid wsp:val=&quot;00EA42CB&quot;/&gt;&lt;wsp:rsid wsp:val=&quot;00EA7405&quot;/&gt;&lt;wsp:rsid wsp:val=&quot;00EA763C&quot;/&gt;&lt;wsp:rsid wsp:val=&quot;00EA7EC2&quot;/&gt;&lt;wsp:rsid wsp:val=&quot;00EB1A51&quot;/&gt;&lt;wsp:rsid wsp:val=&quot;00EB2B00&quot;/&gt;&lt;wsp:rsid wsp:val=&quot;00EB2B73&quot;/&gt;&lt;wsp:rsid wsp:val=&quot;00EB3779&quot;/&gt;&lt;wsp:rsid wsp:val=&quot;00EC00B1&quot;/&gt;&lt;wsp:rsid wsp:val=&quot;00EC0FD1&quot;/&gt;&lt;wsp:rsid wsp:val=&quot;00EC11E3&quot;/&gt;&lt;wsp:rsid wsp:val=&quot;00EC1698&quot;/&gt;&lt;wsp:rsid wsp:val=&quot;00EC1A1E&quot;/&gt;&lt;wsp:rsid wsp:val=&quot;00EC41D9&quot;/&gt;&lt;wsp:rsid wsp:val=&quot;00EC77B2&quot;/&gt;&lt;wsp:rsid wsp:val=&quot;00ED1D3F&quot;/&gt;&lt;wsp:rsid wsp:val=&quot;00ED3137&quot;/&gt;&lt;wsp:rsid wsp:val=&quot;00ED3FE9&quot;/&gt;&lt;wsp:rsid wsp:val=&quot;00EE1331&quot;/&gt;&lt;wsp:rsid wsp:val=&quot;00EE1D3F&quot;/&gt;&lt;wsp:rsid wsp:val=&quot;00EE277F&quot;/&gt;&lt;wsp:rsid wsp:val=&quot;00EE2CC0&quot;/&gt;&lt;wsp:rsid wsp:val=&quot;00EE3CF5&quot;/&gt;&lt;wsp:rsid wsp:val=&quot;00EE5880&quot;/&gt;&lt;wsp:rsid wsp:val=&quot;00EE6560&quot;/&gt;&lt;wsp:rsid wsp:val=&quot;00EE72A4&quot;/&gt;&lt;wsp:rsid wsp:val=&quot;00EE7559&quot;/&gt;&lt;wsp:rsid wsp:val=&quot;00EF1395&quot;/&gt;&lt;wsp:rsid wsp:val=&quot;00EF146C&quot;/&gt;&lt;wsp:rsid wsp:val=&quot;00EF1639&quot;/&gt;&lt;wsp:rsid wsp:val=&quot;00EF393F&quot;/&gt;&lt;wsp:rsid wsp:val=&quot;00EF4448&quot;/&gt;&lt;wsp:rsid wsp:val=&quot;00EF5B6C&quot;/&gt;&lt;wsp:rsid wsp:val=&quot;00EF6B95&quot;/&gt;&lt;wsp:rsid wsp:val=&quot;00F0030C&quot;/&gt;&lt;wsp:rsid wsp:val=&quot;00F0212E&quot;/&gt;&lt;wsp:rsid wsp:val=&quot;00F02911&quot;/&gt;&lt;wsp:rsid wsp:val=&quot;00F02D12&quot;/&gt;&lt;wsp:rsid wsp:val=&quot;00F046D9&quot;/&gt;&lt;wsp:rsid wsp:val=&quot;00F05A5A&quot;/&gt;&lt;wsp:rsid wsp:val=&quot;00F07241&quot;/&gt;&lt;wsp:rsid wsp:val=&quot;00F07312&quot;/&gt;&lt;wsp:rsid wsp:val=&quot;00F10331&quot;/&gt;&lt;wsp:rsid wsp:val=&quot;00F12CC8&quot;/&gt;&lt;wsp:rsid wsp:val=&quot;00F13AF3&quot;/&gt;&lt;wsp:rsid wsp:val=&quot;00F151E7&quot;/&gt;&lt;wsp:rsid wsp:val=&quot;00F15297&quot;/&gt;&lt;wsp:rsid wsp:val=&quot;00F17105&quot;/&gt;&lt;wsp:rsid wsp:val=&quot;00F171CC&quot;/&gt;&lt;wsp:rsid wsp:val=&quot;00F21B21&quot;/&gt;&lt;wsp:rsid wsp:val=&quot;00F21FFD&quot;/&gt;&lt;wsp:rsid wsp:val=&quot;00F23048&quot;/&gt;&lt;wsp:rsid wsp:val=&quot;00F253A4&quot;/&gt;&lt;wsp:rsid wsp:val=&quot;00F25A74&quot;/&gt;&lt;wsp:rsid wsp:val=&quot;00F266C2&quot;/&gt;&lt;wsp:rsid wsp:val=&quot;00F26A2A&quot;/&gt;&lt;wsp:rsid wsp:val=&quot;00F270F8&quot;/&gt;&lt;wsp:rsid wsp:val=&quot;00F27B67&quot;/&gt;&lt;wsp:rsid wsp:val=&quot;00F30383&quot;/&gt;&lt;wsp:rsid wsp:val=&quot;00F30D93&quot;/&gt;&lt;wsp:rsid wsp:val=&quot;00F315F4&quot;/&gt;&lt;wsp:rsid wsp:val=&quot;00F33A9F&quot;/&gt;&lt;wsp:rsid wsp:val=&quot;00F35E90&quot;/&gt;&lt;wsp:rsid wsp:val=&quot;00F36FDD&quot;/&gt;&lt;wsp:rsid wsp:val=&quot;00F42591&quot;/&gt;&lt;wsp:rsid wsp:val=&quot;00F42ABF&quot;/&gt;&lt;wsp:rsid wsp:val=&quot;00F4315F&quot;/&gt;&lt;wsp:rsid wsp:val=&quot;00F45DC8&quot;/&gt;&lt;wsp:rsid wsp:val=&quot;00F476C1&quot;/&gt;&lt;wsp:rsid wsp:val=&quot;00F50443&quot;/&gt;&lt;wsp:rsid wsp:val=&quot;00F51E27&quot;/&gt;&lt;wsp:rsid wsp:val=&quot;00F52844&quot;/&gt;&lt;wsp:rsid wsp:val=&quot;00F53FED&quot;/&gt;&lt;wsp:rsid wsp:val=&quot;00F55E12&quot;/&gt;&lt;wsp:rsid wsp:val=&quot;00F57F81&quot;/&gt;&lt;wsp:rsid wsp:val=&quot;00F57F90&quot;/&gt;&lt;wsp:rsid wsp:val=&quot;00F6022A&quot;/&gt;&lt;wsp:rsid wsp:val=&quot;00F6147B&quot;/&gt;&lt;wsp:rsid wsp:val=&quot;00F61593&quot;/&gt;&lt;wsp:rsid wsp:val=&quot;00F61B1C&quot;/&gt;&lt;wsp:rsid wsp:val=&quot;00F61D60&quot;/&gt;&lt;wsp:rsid wsp:val=&quot;00F62B7C&quot;/&gt;&lt;wsp:rsid wsp:val=&quot;00F653F8&quot;/&gt;&lt;wsp:rsid wsp:val=&quot;00F66809&quot;/&gt;&lt;wsp:rsid wsp:val=&quot;00F758BF&quot;/&gt;&lt;wsp:rsid wsp:val=&quot;00F76D64&quot;/&gt;&lt;wsp:rsid wsp:val=&quot;00F8012D&quot;/&gt;&lt;wsp:rsid wsp:val=&quot;00F85FB7&quot;/&gt;&lt;wsp:rsid wsp:val=&quot;00F877B2&quot;/&gt;&lt;wsp:rsid wsp:val=&quot;00F87AEF&quot;/&gt;&lt;wsp:rsid wsp:val=&quot;00F87F54&quot;/&gt;&lt;wsp:rsid wsp:val=&quot;00F91AB2&quot;/&gt;&lt;wsp:rsid wsp:val=&quot;00F926CC&quot;/&gt;&lt;wsp:rsid wsp:val=&quot;00F92FDD&quot;/&gt;&lt;wsp:rsid wsp:val=&quot;00F97B3A&quot;/&gt;&lt;wsp:rsid wsp:val=&quot;00FA33B3&quot;/&gt;&lt;wsp:rsid wsp:val=&quot;00FA5EF0&quot;/&gt;&lt;wsp:rsid wsp:val=&quot;00FA6AA7&quot;/&gt;&lt;wsp:rsid wsp:val=&quot;00FA7FC0&quot;/&gt;&lt;wsp:rsid wsp:val=&quot;00FB0023&quot;/&gt;&lt;wsp:rsid wsp:val=&quot;00FB050E&quot;/&gt;&lt;wsp:rsid wsp:val=&quot;00FB103F&quot;/&gt;&lt;wsp:rsid wsp:val=&quot;00FB1932&quot;/&gt;&lt;wsp:rsid wsp:val=&quot;00FB22C8&quot;/&gt;&lt;wsp:rsid wsp:val=&quot;00FB362D&quot;/&gt;&lt;wsp:rsid wsp:val=&quot;00FB4AE3&quot;/&gt;&lt;wsp:rsid wsp:val=&quot;00FB6BB1&quot;/&gt;&lt;wsp:rsid wsp:val=&quot;00FB7E4F&quot;/&gt;&lt;wsp:rsid wsp:val=&quot;00FC1127&quot;/&gt;&lt;wsp:rsid wsp:val=&quot;00FC15BE&quot;/&gt;&lt;wsp:rsid wsp:val=&quot;00FC1C55&quot;/&gt;&lt;wsp:rsid wsp:val=&quot;00FC2716&quot;/&gt;&lt;wsp:rsid wsp:val=&quot;00FC3876&quot;/&gt;&lt;wsp:rsid wsp:val=&quot;00FC4391&quot;/&gt;&lt;wsp:rsid wsp:val=&quot;00FC566D&quot;/&gt;&lt;wsp:rsid wsp:val=&quot;00FC5BAB&quot;/&gt;&lt;wsp:rsid wsp:val=&quot;00FC5D4F&quot;/&gt;&lt;wsp:rsid wsp:val=&quot;00FC5FA5&quot;/&gt;&lt;wsp:rsid wsp:val=&quot;00FD04A8&quot;/&gt;&lt;wsp:rsid wsp:val=&quot;00FD41C1&quot;/&gt;&lt;wsp:rsid wsp:val=&quot;00FD4FBB&quot;/&gt;&lt;wsp:rsid wsp:val=&quot;00FD541F&quot;/&gt;&lt;wsp:rsid wsp:val=&quot;00FD5A2A&quot;/&gt;&lt;wsp:rsid wsp:val=&quot;00FD6BAA&quot;/&gt;&lt;wsp:rsid wsp:val=&quot;00FD6F29&quot;/&gt;&lt;wsp:rsid wsp:val=&quot;00FE4F49&quot;/&gt;&lt;wsp:rsid wsp:val=&quot;00FE53F6&quot;/&gt;&lt;wsp:rsid wsp:val=&quot;00FE6034&quot;/&gt;&lt;wsp:rsid wsp:val=&quot;00FE73FF&quot;/&gt;&lt;wsp:rsid wsp:val=&quot;00FF1A90&quot;/&gt;&lt;wsp:rsid wsp:val=&quot;00FF2D44&quot;/&gt;&lt;wsp:rsid wsp:val=&quot;00FF34E7&quot;/&gt;&lt;wsp:rsid wsp:val=&quot;00FF3B65&quot;/&gt;&lt;wsp:rsid wsp:val=&quot;00FF4A77&quot;/&gt;&lt;wsp:rsid wsp:val=&quot;00FF705C&quot;/&gt;&lt;wsp:rsid wsp:val=&quot;00FF7505&quot;/&gt;&lt;wsp:rsid wsp:val=&quot;10E34571&quot;/&gt;&lt;wsp:rsid wsp:val=&quot;10FA2D5F&quot;/&gt;&lt;wsp:rsid wsp:val=&quot;68523A51&quot;/&gt;&lt;/wsp:rsids&gt;&lt;/w:docPr&gt;&lt;w:body&gt;&lt;wx:sect&gt;&lt;w:p wsp:rsidR=&quot;00000000&quot; wsp:rsidRDefault=&quot;00BA4290&quot; wsp:rsidP=&quot;00BA4290&quot;&gt;&lt;m:oMathPara&gt;&lt;m:oMath&gt;&lt;m:r&gt;&lt;w:rPr&gt;&lt;w:rFonts w:ascii=&quot;Cambria Math&quot; w:h-ansi=&quot;Cambria Math&quot;/&gt;&lt;wx:font wx:val=&quot;Cambria Math&quot;/&gt;&lt;w:i/&gt;&lt;w:color w:val=&quot;000000&quot;/&gt;&lt;w:sz w:val=&quot;32&quot;/&gt;&lt;w:sz-cs w:val=&quot;32&quot;/&gt;&lt;/w:rPr&gt;&lt;m:t&gt;a??/m:t&gt;&lt;/m:r&gt;&lt;m:r&gt;&lt;m:rPr&gt;&lt;m:nor/&gt;&lt;/m:rPr&gt;&lt;w:rPr&gt;&lt;w:rFonts w:ascii=&quot;Cambria Math&quot; w:h-ansi=&quot;Cambria Math&quot; w:hint=&quot;fareast&quot;/&gt;&lt;wx:font wx:val=&quot;Cambria Math&quot;/&gt;&lt;w:color w:val=/&gt;&gt;&gt;&gt;&gt;&gt;&gt;&gt;&gt;&gt;&gt;&gt;&gt;&gt;&gt;&gt;&gt;&gt;&quot;000000&quot;/&gt;&lt;w:sz w:val=&quot;32&quot;/&gt;&lt;w:sz-cs w:val=&quot;32&quot;/&gt;&lt;/w:rPr&gt;&lt;m:t&gt;t=&lt;/m:t&gt;&lt;/m:r&gt;&lt;m:f&gt;&lt;m:fPr&gt;&lt;m:ctrlPr&gt;&lt;w:rPr&gt;&lt;w:rFonts w:ascii=&quot;Cambria Math&quot; w:h-ansi=&quot;Cambria Math&quot;/&gt;&lt;wx:font wx:val=&quot;Cambria Math&quot;/&gt;&lt;w:i/&gt;&lt;w:color w:val=&quot;000000&quot;/&gt;&lt;w:sz w:val=&quot;32&quot;/&gt;&lt;w:sz-cs w:val=&quot;32&quot;/&gt;&lt;/w:rPr&gt;&lt;/m:ctrlPr&gt;&lt;/m:fPr&gt;&lt;m:num&gt;&lt;m:r&gt;&lt;w:rPr&gt;&lt;w:rFonts w:ascii=&quot;Cambria Math&quot; w:h-ansi=&quot;Cambria Math&quot;/&gt;&lt;wx:font wx:val=&quot;Cambria Math&quot;/&gt;&lt;w:i/&gt;&lt;w:color w:val=&quot;000000&quot;/&gt;&lt;w:sz w:val=&quot;32&quot;/&gt;&lt;w:sz-cs w:val=&quot;32&quot;/&gt;&lt;/w:rPr&gt;&lt;m:t&gt;100?—&lt;/llllllllllllllllllllllllllllllllllllllllllllm:=t&quot;&gt;3&lt;2/&quot;m/:&gt;r&lt;&gt;w&lt;:ms:zs-Scusp &gt;w&lt;:m:sSupPr&gt;&lt;m:ctrlPr&gt;&lt;w:rPr&gt;&lt;w:rFonts w:ascii=&quot;Cambria Math&quot; w:h-ansi=&quot;Cambria Math&quot;/&gt;&lt;wx:font wx:val=&quot;Cambria Math&quot;/&gt;&lt;w:i/&gt;&lt;w:color w:val=&quot;000000&quot;/&gt;&lt;w:sz w:val=&quot;32&quot;/&gt;&lt;w:sz-cs w:val=&quot;32&quot;/&gt;&lt;/w:rPr&gt;&lt;/m:ctrlPr&gt;&lt;/m:sSupPr&gt;&lt;m:e&gt;&lt;m:r&gt;&lt;w:rPr&gt;&lt;w:rFonts w:ascii=&quot;Cambria Math&quot; w:h-ansi=&quot;Cambria Math&quot;/&gt;&lt;wx:font wx:val=&quot;Cambria Math&quot;/&gt;&lt;w:i/&gt;&lt;w:color w:val=&quot;000000&quot;/&gt;&lt;w:sz w:val=&quot;32&quot;/&gt;&lt;w:sz-cs w:val=&quot;32&quot;/&gt;&lt;/w:rPr&gt;&lt;m:t&gt;10&lt;/m:t&gt;&lt;/m:r&gt;&lt;/m:e&gt;&lt;m:sup&gt;&lt;m:r&gt;&lt;w:rPr&gt;&lt;w:rFonts w:ascii=&quot;Cambria Math&quot; w:h-ansi=&quot;Cambria Math&quot;/&gt;&lt;wx:font wx:val=&quot;Cambria Math&quot;/&gt;&lt;w:i/&gt;&lt;w:color w:val=&quot;000000&quot;/&gt;&lt;w:sz w:val=&quot;32&quot;/&gt;&lt;w:sz-cs w:val=&quot;32&quot;/&gt;&lt;/w:rPr&gt;&lt;m:t&gt;3&lt;/m:t&gt;&lt;/m:r&gt;&lt;/m:sup&gt;&lt;/m:sSup&gt;&lt;/m:num&gt;&lt;m:den&gt;&lt;m:r&gt;&lt;w:rPr&gt;&lt;w:rFonts w:ascii=&quot;Cambria Math&quot; w:h-ansi=&quot;Cambria Math&quot;/&gt;&lt;wx:font wx:val=&quot;Cambria Math&quot;/&gt;&lt;w:i/&gt;&lt;w:color w:val=&quot;000000&quot;/&gt;&lt;w:sz w:val=&quot;32&quot;/&gt;&lt;w:sz-cs w:val=&quot;32&quot;/&gt;&lt;/w:rPr&gt;&lt;m:t&gt;1.1a??/m:t&gt;&lt;/m:r&gt;&lt;m:r&gt;&lt;w:rPr&gt;&lt;w:rFonts w:ascii=&quot;Cambria Math&quot; w:h-ansi=&quot;Cambria Math&quot; w:hint=&quot;fareast&quot;/&gt;&lt;wx:font wx:val=&quot;Cambria Math&quot;/&gt;&lt;w&quot;:i&gt;/&gt;w&lt;w::cooltorw w::vaal==&quot;C00m00r00a&quot;/M&gt;&lt;tw:&quot;s/&gt;z w:val=&quot;32&quot;/&gt;&lt;w:sz-cs w:val=&quot;32&quot;/&gt;&lt;/w:rPr&gt;&lt;m:t&gt;b&lt;/m:t&gt;&lt;/m:r&gt;&lt;m:r&gt;&lt;w:rPr&gt;&lt;w:rFonts w:ascii=&quot;Cambria Math&quot; w:h-ansi=&quot;Cambria Math&quot;/&gt;&lt;wx:font wx:val=&quot;Cambria Math&quot;/&gt;&lt;w:i/&gt;&lt;w:color w:val=&quot;000000&quot;/&gt;&lt;w:sz w:val=&quot;32&quot;/&gt;&lt;w:sz-cs w:val=&quot;32&quot;/&gt;&lt;/w:rPr&gt;&lt;m:t&gt;a??tCa?w:&quot;?m?:s/&gt;??&lt;/m:t&gt;&lt;/m:r&gt;&lt;m:sSub&gt;&lt;m:sSubPr&gt;&lt;m:ctrlPr&gt;&lt;w:rPr&gt;&lt;w:rFonts w:ascii=&quot;Cambria Math&quot; w:h-ansi=&quot;Cambria Math&quot;/&gt;&lt;wx:font wx:val=&quot;Cambria Math&quot;/&gt;&lt;w:i/&gt;&lt;w:color w:val=&quot;000000&quot;/&gt;&lt;w:sz w:val=&quot;32&quot;/&gt;&lt;w:sz-csw:va w:al=&quot;val&quot;32&quot;=&quot;3&quot;/&gt;&lt;2&quot;/&lt;w:s&gt;&lt;/sz-cw:rcs wPr&gt;w:va&lt;/mal=&quot;:ct&quot;32&quot;rlP&quot;/&gt;&lt;r&gt;&lt;&lt;/w:/m::rPrsSur&gt;&lt;mbPrm:t&gt;&gt;&lt;m:a??te&gt;&lt;m:r:&quot;&gt;&lt;w:rPr&gt;&gt;&lt;w:rFonts w:ascii=&quot;Cambria Math&quot; w:h-ansi=&quot;Cambria Math&quot;/&gt;&lt;wx:font wx:val=&quot;Cambria Math&quot;/&gt;&lt;w:i/&gt;&lt;w:color w:val=&quot;000000&quot;/&gt;&lt;w:sz w:vala=&quot;32&quot;/&gt;&quot;&lt;w:sz-c&quot;s w:val&lt;=&quot;32&quot;/&gt;s&lt;/w:rPrc&gt;&lt;m:t&gt;Uw&lt;/m:t&gt;&lt;a/m:r&gt;&lt;/&quot;m:e&gt;&lt;m:&quot;sub&gt;&lt;m:&lt;r&gt;&lt;w:rP:r&gt;&lt;w:rFronts w:mascii=&quot;&gt;Cambria Math&quot; w:h-ansi=&quot;Cambria Math&quot;/&gt;&lt;wx:font wx:val=&quot;Cambria Math&quot;/&gt;&lt;w:i/&gt;&lt;w:color w:val=&quot;000000&quot;/&gt;&lt;w:sz w:val=&quot;32&quot;/&gt;&lt;w:sz-cs w:val=&quot;32&quot;/&gt;&lt;/w:rPr&gt;&lt;m:t&gt;nom&lt;/m:t&gt;&lt;/m:r&gt;&lt;/m:sub&gt;&lt;/m:sSub&gt;&lt;m:r&gt;&lt;w:rPr&gt;&lt;w:rFonts w:ascii=&quot;Cambria Math&quot; w:h-ansi=&quot;Cambria Math&quot;/&gt;&lt;wx:font wx:val=&quot;Cambria Math&quot;/&gt;&lt;w:i/&gt;&lt;w:color w:val=&quot;000000&quot;/&gt;&lt;w:sz w:val=&quot;32&quot;/&gt;&lt;w:sz-cs w:val=&quot;32&quot;/&gt;&lt;/w:rPr&gt;&lt;m:t&gt;a??/m:t&gt;&lt;/m:r&gt;&lt;m:sSub&gt;&lt;m:sS/ubPr&gt;&lt;m:mctrlPr&gt;&lt;/w:rPr&gt;&lt;w::rFonts uw:ascii=S&quot;Cambria&gt; Math&quot; w&lt;:h-ansi=s&quot;Cambriai Math&quot;/&gt;i&lt;wx:font  wx:val=i&quot;Cambriai Math&quot;/&gt;/&lt;w:i/&gt;&lt;wn:color wl:val=&quot;0ri00000&quot;/&gt;&lt;w:sz w:val=&quot;32&quot;/&gt;&lt;w:sz-cs w:val=&quot;32&quot;/&gt;&lt;/w:rPr&gt;&lt;/m:ctrlPr&gt;&lt;/m:sSubPr&gt;&lt;m:e&gt;&lt;m:r&gt;&lt;w:rPr&gt;&lt;w:rFonts w:ascii=&quot;Cambria Math&quot; w:h-ansi=&quot;Cambria Math&quot;/&gt;&lt;wx:font wx:val=&quot;Cambria Math&quot;/&gt;&lt;w:i/&gt;&lt;w:color w:val=&quot;000000&quot;/&gt;&lt;w:sz w:val=&quot;32&quot;/&gt;&lt;w:sz-cs w:val=&quot;32&quot;/&gt;&lt;/w:rPr&gt;&lt;m:t&gt;I&lt;/m:t&gt;&lt;/m:r&gt;&lt;/m:e&gt;&lt;m:sub&gt;&lt;m:r&gt;&lt;w:rPr&gt;&lt;w:rFonts w:ascii=&quot;Cambria Math&quot; w:h-ansi=&quot;Cambria Math&quot;/&gt;&lt;wx:font wx:val=&quot;Cambria Math&quot;/&gt;&lt;w:i/&gt;&lt;w:color w:val=&quot;000000&quot;/&gt;&lt;w:sz w:val=&quot;32&quot;/&gt;&lt;w:sz-cs w:val=&quot;32&quot;/&gt;&lt;/w:rPr&gt;&lt;m:t&gt;min&lt;/m:t&gt;&lt;/m:r&gt;&lt;/m:sub&gt;&lt;/m:sSub&gt;&lt;/m:den&gt;&lt;/m:f&gt;&lt;m:r&gt;&lt;w:rPr&gt;&lt;w:rFonts w:ascii=&quot;Cambria Math&quot; w:h-ansi=&quot;Cambria Math&quot;/&gt;&lt;wx:font wx:val=&quot;Cambria Math&quot;/&gt;&lt;w:i/&gt;&lt;w:color w:val=&quot;000000&quot;/&gt;&lt;w:sz w:val=&quot;32&quot;/&gt;&lt;w:sz-cs w:val=&quot;32&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6" chromakey="#FFFFFF" o:title=""/>
            <o:lock v:ext="edit" aspectratio="t"/>
            <w10:wrap type="none"/>
            <w10:anchorlock/>
          </v:shape>
        </w:pict>
      </w:r>
      <w:r>
        <w:rPr>
          <w:rFonts w:hAnsi="宋体"/>
          <w:color w:val="000000"/>
          <w:sz w:val="24"/>
        </w:rPr>
        <w:instrText xml:space="preserve"> </w:instrText>
      </w:r>
      <w:r>
        <w:rPr>
          <w:rFonts w:hAnsi="宋体"/>
          <w:color w:val="000000"/>
          <w:sz w:val="24"/>
        </w:rPr>
        <w:fldChar w:fldCharType="end"/>
      </w:r>
      <w:r>
        <w:rPr>
          <w:rFonts w:hAnsi="宋体"/>
          <w:color w:val="000000"/>
          <w:sz w:val="24"/>
        </w:rPr>
        <w:t xml:space="preserve">                             (</w:t>
      </w:r>
      <w:r>
        <w:rPr>
          <w:rFonts w:hint="eastAsia" w:hAnsi="宋体"/>
          <w:color w:val="000000"/>
          <w:sz w:val="24"/>
        </w:rPr>
        <w:t>3</w:t>
      </w:r>
      <w:r>
        <w:rPr>
          <w:rFonts w:hAnsi="宋体"/>
          <w:color w:val="000000"/>
          <w:sz w:val="24"/>
        </w:rPr>
        <w:t>)</w:t>
      </w:r>
      <w:r>
        <w:rPr>
          <w:rFonts w:hAnsi="宋体"/>
          <w:color w:val="000000"/>
          <w:sz w:val="24"/>
        </w:rPr>
        <w:fldChar w:fldCharType="begin"/>
      </w:r>
      <w:r>
        <w:rPr>
          <w:rFonts w:hAnsi="宋体"/>
          <w:color w:val="000000"/>
          <w:sz w:val="24"/>
        </w:rPr>
        <w:instrText xml:space="preserve"> QUOTE </w:instrText>
      </w:r>
      <w:r>
        <w:rPr>
          <w:position w:val="-23"/>
        </w:rPr>
        <w:pict>
          <v:shape id="_x0000_i1039" o:spt="75" type="#_x0000_t75" style="height:31.65pt;width:96.15pt;" filled="f" o:preferrelative="t" stroked="f" coordsize="21600,21600" equationxml="&lt;">
            <v:path/>
            <v:fill on="f" focussize="0,0"/>
            <v:stroke on="f" joinstyle="miter"/>
            <v:imagedata r:id="rId37" chromakey="#FFFFFF" o:title=""/>
            <o:lock v:ext="edit" aspectratio="t"/>
            <w10:wrap type="none"/>
            <w10:anchorlock/>
          </v:shape>
        </w:pict>
      </w:r>
      <w:r>
        <w:rPr>
          <w:rFonts w:hAnsi="宋体"/>
          <w:color w:val="000000"/>
          <w:sz w:val="24"/>
        </w:rPr>
        <w:fldChar w:fldCharType="end"/>
      </w:r>
    </w:p>
    <w:p w14:paraId="70E5CF6B">
      <w:pPr>
        <w:tabs>
          <w:tab w:val="left" w:pos="540"/>
        </w:tabs>
        <w:adjustRightInd w:val="0"/>
        <w:snapToGrid w:val="0"/>
        <w:spacing w:line="360" w:lineRule="auto"/>
        <w:ind w:firstLine="480" w:firstLineChars="200"/>
        <w:rPr>
          <w:rFonts w:hint="eastAsia" w:hAnsi="宋体"/>
          <w:color w:val="000000"/>
          <w:sz w:val="24"/>
        </w:rPr>
      </w:pPr>
      <w:bookmarkStart w:id="60" w:name="_Hlk131405247"/>
      <w:r>
        <w:rPr>
          <w:rFonts w:hint="eastAsia" w:hAnsi="宋体"/>
          <w:color w:val="000000"/>
          <w:sz w:val="24"/>
        </w:rPr>
        <w:t>式</w:t>
      </w:r>
      <w:r>
        <w:rPr>
          <w:rFonts w:hAnsi="宋体"/>
          <w:color w:val="000000"/>
          <w:sz w:val="24"/>
        </w:rPr>
        <w:t>中</w:t>
      </w:r>
      <w:bookmarkEnd w:id="60"/>
      <w:r>
        <w:rPr>
          <w:rFonts w:hAnsi="宋体"/>
          <w:color w:val="000000"/>
          <w:sz w:val="24"/>
        </w:rPr>
        <w:t>：</w:t>
      </w:r>
    </w:p>
    <w:p w14:paraId="3B532C1D">
      <w:pPr>
        <w:tabs>
          <w:tab w:val="left" w:pos="540"/>
        </w:tabs>
        <w:adjustRightInd w:val="0"/>
        <w:snapToGrid w:val="0"/>
        <w:spacing w:line="360" w:lineRule="auto"/>
        <w:ind w:left="567" w:leftChars="270"/>
        <w:rPr>
          <w:rFonts w:hint="eastAsia" w:hAnsi="宋体"/>
          <w:color w:val="000000"/>
          <w:sz w:val="24"/>
        </w:rPr>
      </w:pPr>
      <w:r>
        <w:rPr>
          <w:rFonts w:ascii="Cambria Math" w:hAnsi="Cambria Math" w:cs="Cambria Math"/>
          <w:sz w:val="24"/>
        </w:rPr>
        <w:t>△</w:t>
      </w:r>
      <w:r>
        <w:rPr>
          <w:sz w:val="24"/>
        </w:rPr>
        <w:t>t</w:t>
      </w:r>
      <w:r>
        <w:t xml:space="preserve"> </w:t>
      </w:r>
      <w:r>
        <w:rPr>
          <w:color w:val="767171"/>
          <w:sz w:val="24"/>
        </w:rPr>
        <w:t>——</w:t>
      </w:r>
      <w:r>
        <w:rPr>
          <w:rFonts w:hint="eastAsia" w:hAnsi="宋体"/>
          <w:color w:val="000000"/>
          <w:sz w:val="24"/>
        </w:rPr>
        <w:t>最短的试验时间，min；</w:t>
      </w:r>
    </w:p>
    <w:p w14:paraId="4E2563D2">
      <w:pPr>
        <w:tabs>
          <w:tab w:val="left" w:pos="540"/>
        </w:tabs>
        <w:adjustRightInd w:val="0"/>
        <w:snapToGrid w:val="0"/>
        <w:spacing w:line="360" w:lineRule="auto"/>
        <w:ind w:left="567" w:leftChars="270"/>
        <w:rPr>
          <w:rFonts w:hint="eastAsia" w:hAnsi="宋体"/>
          <w:color w:val="000000"/>
          <w:sz w:val="24"/>
        </w:rPr>
      </w:pPr>
      <w:r>
        <w:rPr>
          <w:rFonts w:hint="eastAsia" w:hAnsi="宋体"/>
          <w:i/>
          <w:color w:val="000000"/>
          <w:sz w:val="24"/>
        </w:rPr>
        <w:t>K</w:t>
      </w:r>
      <w:r>
        <w:rPr>
          <w:color w:val="767171"/>
          <w:sz w:val="24"/>
        </w:rPr>
        <w:t>——</w:t>
      </w:r>
      <w:r>
        <w:rPr>
          <w:rFonts w:hAnsi="宋体"/>
          <w:color w:val="000000"/>
          <w:sz w:val="24"/>
        </w:rPr>
        <w:t>仪表常数</w:t>
      </w:r>
      <w:r>
        <w:rPr>
          <w:rFonts w:hint="eastAsia" w:hAnsi="宋体"/>
          <w:color w:val="000000"/>
          <w:sz w:val="24"/>
        </w:rPr>
        <w:t>，</w:t>
      </w:r>
      <w:r>
        <w:rPr>
          <w:rFonts w:hAnsi="宋体"/>
          <w:color w:val="000000"/>
          <w:sz w:val="24"/>
        </w:rPr>
        <w:t>imp</w:t>
      </w:r>
      <w:r>
        <w:rPr>
          <w:rFonts w:hint="eastAsia" w:hAnsi="宋体"/>
          <w:color w:val="000000"/>
          <w:sz w:val="24"/>
        </w:rPr>
        <w:t>/</w:t>
      </w:r>
      <w:r>
        <w:rPr>
          <w:rFonts w:hAnsi="宋体"/>
          <w:color w:val="000000"/>
          <w:sz w:val="24"/>
        </w:rPr>
        <w:t>k</w:t>
      </w:r>
      <w:r>
        <w:rPr>
          <w:rFonts w:hint="eastAsia" w:hAnsi="宋体"/>
          <w:color w:val="000000"/>
          <w:sz w:val="24"/>
        </w:rPr>
        <w:t>W</w:t>
      </w:r>
      <w:r>
        <w:rPr>
          <w:rFonts w:hAnsi="宋体"/>
          <w:color w:val="000000"/>
          <w:sz w:val="24"/>
        </w:rPr>
        <w:t>h</w:t>
      </w:r>
      <w:r>
        <w:rPr>
          <w:rFonts w:hint="eastAsia" w:hAnsi="宋体"/>
          <w:color w:val="000000"/>
          <w:sz w:val="24"/>
        </w:rPr>
        <w:t>；</w:t>
      </w:r>
    </w:p>
    <w:p w14:paraId="0B735891">
      <w:pPr>
        <w:tabs>
          <w:tab w:val="left" w:pos="540"/>
        </w:tabs>
        <w:adjustRightInd w:val="0"/>
        <w:snapToGrid w:val="0"/>
        <w:spacing w:line="360" w:lineRule="auto"/>
        <w:ind w:left="567" w:leftChars="270"/>
        <w:rPr>
          <w:rFonts w:hint="eastAsia" w:hAnsi="宋体"/>
          <w:color w:val="000000"/>
          <w:sz w:val="24"/>
        </w:rPr>
      </w:pPr>
      <w:bookmarkStart w:id="61" w:name="_Hlk129243355"/>
      <w:r>
        <w:rPr>
          <w:rFonts w:hAnsi="宋体"/>
          <w:i/>
          <w:color w:val="000000"/>
          <w:sz w:val="24"/>
        </w:rPr>
        <w:t>m</w:t>
      </w:r>
      <w:bookmarkEnd w:id="61"/>
      <w:bookmarkStart w:id="62" w:name="_Hlk131405276"/>
      <w:r>
        <w:rPr>
          <w:color w:val="767171"/>
          <w:sz w:val="24"/>
        </w:rPr>
        <w:t>——</w:t>
      </w:r>
      <w:bookmarkEnd w:id="62"/>
      <w:r>
        <w:rPr>
          <w:rFonts w:hAnsi="宋体"/>
          <w:iCs/>
          <w:color w:val="000000"/>
          <w:sz w:val="24"/>
        </w:rPr>
        <w:t>测量</w:t>
      </w:r>
      <w:r>
        <w:rPr>
          <w:rFonts w:hint="eastAsia" w:hAnsi="宋体"/>
          <w:iCs/>
          <w:color w:val="000000"/>
          <w:sz w:val="24"/>
        </w:rPr>
        <w:t>单元，对于直流电能表，假设</w:t>
      </w:r>
      <w:r>
        <w:rPr>
          <w:rFonts w:hAnsi="宋体"/>
          <w:i/>
          <w:color w:val="000000"/>
          <w:sz w:val="24"/>
        </w:rPr>
        <w:t xml:space="preserve"> m</w:t>
      </w:r>
      <w:r>
        <w:rPr>
          <w:rFonts w:hAnsi="宋体"/>
          <w:iCs/>
          <w:color w:val="000000"/>
          <w:sz w:val="24"/>
        </w:rPr>
        <w:t>=1;</w:t>
      </w:r>
      <w:r>
        <w:rPr>
          <w:rFonts w:hint="eastAsia" w:hAnsi="宋体"/>
          <w:color w:val="000000"/>
          <w:sz w:val="24"/>
        </w:rPr>
        <w:t xml:space="preserve"> </w:t>
      </w:r>
    </w:p>
    <w:p w14:paraId="6319797B">
      <w:pPr>
        <w:tabs>
          <w:tab w:val="left" w:pos="540"/>
        </w:tabs>
        <w:adjustRightInd w:val="0"/>
        <w:snapToGrid w:val="0"/>
        <w:spacing w:line="360" w:lineRule="auto"/>
        <w:ind w:left="567" w:leftChars="270"/>
        <w:rPr>
          <w:rFonts w:hint="eastAsia" w:hAnsi="宋体"/>
          <w:color w:val="000000"/>
          <w:sz w:val="24"/>
        </w:rPr>
      </w:pPr>
      <w:r>
        <w:rPr>
          <w:rFonts w:hAnsi="宋体"/>
          <w:i/>
          <w:color w:val="000000"/>
          <w:sz w:val="24"/>
        </w:rPr>
        <w:t>U</w:t>
      </w:r>
      <w:r>
        <w:rPr>
          <w:rFonts w:hint="eastAsia" w:hAnsi="宋体"/>
          <w:color w:val="000000"/>
          <w:sz w:val="24"/>
          <w:vertAlign w:val="subscript"/>
        </w:rPr>
        <w:t>test</w:t>
      </w:r>
      <w:r>
        <w:rPr>
          <w:color w:val="767171"/>
          <w:sz w:val="24"/>
        </w:rPr>
        <w:t>——</w:t>
      </w:r>
      <w:r>
        <w:rPr>
          <w:rFonts w:hint="eastAsia"/>
          <w:sz w:val="24"/>
          <w:szCs w:val="24"/>
        </w:rPr>
        <w:t>最大的规定工作电压，即</w:t>
      </w:r>
      <w:r>
        <w:rPr>
          <w:rFonts w:hint="eastAsia" w:hAnsi="宋体"/>
          <w:sz w:val="24"/>
          <w:szCs w:val="24"/>
        </w:rPr>
        <w:t>1.1</w:t>
      </w:r>
      <w:r>
        <w:rPr>
          <w:rFonts w:hint="eastAsia" w:hAnsi="宋体"/>
          <w:i/>
          <w:iCs/>
          <w:sz w:val="24"/>
          <w:szCs w:val="24"/>
        </w:rPr>
        <w:t>U</w:t>
      </w:r>
      <w:r>
        <w:rPr>
          <w:rFonts w:hint="eastAsia" w:hAnsi="宋体"/>
          <w:sz w:val="24"/>
          <w:szCs w:val="24"/>
          <w:vertAlign w:val="subscript"/>
        </w:rPr>
        <w:t>n</w:t>
      </w:r>
      <w:r>
        <w:rPr>
          <w:rFonts w:hint="eastAsia"/>
          <w:sz w:val="24"/>
          <w:szCs w:val="24"/>
        </w:rPr>
        <w:t>，单位：</w:t>
      </w:r>
      <w:r>
        <w:rPr>
          <w:rFonts w:hint="eastAsia" w:hAnsi="宋体"/>
          <w:sz w:val="24"/>
          <w:szCs w:val="24"/>
        </w:rPr>
        <w:t>V；</w:t>
      </w:r>
    </w:p>
    <w:p w14:paraId="63565679">
      <w:pPr>
        <w:tabs>
          <w:tab w:val="left" w:pos="540"/>
        </w:tabs>
        <w:adjustRightInd w:val="0"/>
        <w:snapToGrid w:val="0"/>
        <w:spacing w:line="360" w:lineRule="auto"/>
        <w:ind w:left="567" w:leftChars="270"/>
        <w:rPr>
          <w:rFonts w:hint="eastAsia" w:hAnsi="宋体"/>
          <w:color w:val="000000"/>
          <w:sz w:val="24"/>
        </w:rPr>
      </w:pPr>
      <w:r>
        <w:rPr>
          <w:rFonts w:hAnsi="宋体"/>
          <w:i/>
          <w:color w:val="000000"/>
          <w:sz w:val="24"/>
        </w:rPr>
        <w:t>I</w:t>
      </w:r>
      <w:r>
        <w:rPr>
          <w:rFonts w:hint="eastAsia" w:hAnsi="宋体"/>
          <w:color w:val="000000"/>
          <w:sz w:val="24"/>
          <w:vertAlign w:val="subscript"/>
        </w:rPr>
        <w:t>st</w:t>
      </w:r>
      <w:r>
        <w:rPr>
          <w:color w:val="767171"/>
          <w:sz w:val="24"/>
        </w:rPr>
        <w:t>——</w:t>
      </w:r>
      <w:r>
        <w:rPr>
          <w:rFonts w:hint="eastAsia" w:hAnsi="宋体"/>
          <w:color w:val="000000"/>
          <w:sz w:val="24"/>
        </w:rPr>
        <w:t>起动</w:t>
      </w:r>
      <w:r>
        <w:rPr>
          <w:rFonts w:hAnsi="宋体"/>
          <w:color w:val="000000"/>
          <w:sz w:val="24"/>
        </w:rPr>
        <w:t>电流</w:t>
      </w:r>
      <w:r>
        <w:rPr>
          <w:rFonts w:hint="eastAsia" w:hAnsi="宋体"/>
          <w:color w:val="000000"/>
          <w:sz w:val="24"/>
        </w:rPr>
        <w:t>，A</w:t>
      </w:r>
      <w:r>
        <w:rPr>
          <w:rFonts w:hAnsi="宋体"/>
          <w:color w:val="000000"/>
          <w:sz w:val="24"/>
        </w:rPr>
        <w:t>。</w:t>
      </w:r>
    </w:p>
    <w:p w14:paraId="3E52B327">
      <w:pPr>
        <w:pStyle w:val="43"/>
        <w:numPr>
          <w:ilvl w:val="0"/>
          <w:numId w:val="0"/>
        </w:numPr>
        <w:spacing w:line="360" w:lineRule="auto"/>
        <w:rPr>
          <w:rFonts w:eastAsia="宋体" w:cs="Times New Roman"/>
        </w:rPr>
      </w:pPr>
      <w:r>
        <w:rPr>
          <w:rFonts w:eastAsia="宋体" w:cs="Times New Roman"/>
        </w:rPr>
        <w:t>7.4.5</w:t>
      </w:r>
      <w:r>
        <w:rPr>
          <w:rFonts w:hint="eastAsia" w:eastAsia="宋体" w:cs="Times New Roman"/>
        </w:rPr>
        <w:t xml:space="preserve">  </w:t>
      </w:r>
      <w:r>
        <w:rPr>
          <w:rFonts w:eastAsia="宋体" w:cs="Times New Roman"/>
        </w:rPr>
        <w:t>起动试验</w:t>
      </w:r>
    </w:p>
    <w:p w14:paraId="25B62F51">
      <w:pPr>
        <w:tabs>
          <w:tab w:val="left" w:pos="540"/>
        </w:tabs>
        <w:snapToGrid w:val="0"/>
        <w:spacing w:line="360" w:lineRule="auto"/>
        <w:ind w:firstLine="480" w:firstLineChars="200"/>
        <w:rPr>
          <w:color w:val="000000"/>
          <w:sz w:val="24"/>
          <w:szCs w:val="24"/>
        </w:rPr>
      </w:pPr>
      <w:r>
        <w:rPr>
          <w:rFonts w:hint="eastAsia"/>
          <w:color w:val="000000"/>
          <w:sz w:val="24"/>
          <w:szCs w:val="24"/>
        </w:rPr>
        <w:t>电能表</w:t>
      </w:r>
      <w:r>
        <w:rPr>
          <w:color w:val="000000"/>
          <w:sz w:val="24"/>
          <w:szCs w:val="24"/>
        </w:rPr>
        <w:t>施加</w:t>
      </w:r>
      <w:r>
        <w:rPr>
          <w:rFonts w:hint="eastAsia"/>
          <w:color w:val="000000"/>
          <w:sz w:val="24"/>
          <w:szCs w:val="24"/>
        </w:rPr>
        <w:t>最小标称电压</w:t>
      </w:r>
      <w:r>
        <w:rPr>
          <w:i/>
          <w:iCs/>
        </w:rPr>
        <w:t>U</w:t>
      </w:r>
      <w:r>
        <w:rPr>
          <w:vertAlign w:val="subscript"/>
        </w:rPr>
        <w:t>n</w:t>
      </w:r>
      <w:r>
        <w:rPr>
          <w:rFonts w:hint="eastAsia"/>
        </w:rPr>
        <w:t>或</w:t>
      </w:r>
      <w:r>
        <w:rPr>
          <w:i/>
          <w:iCs/>
        </w:rPr>
        <w:t>U</w:t>
      </w:r>
      <w:r>
        <w:rPr>
          <w:vertAlign w:val="subscript"/>
        </w:rPr>
        <w:t>n_</w:t>
      </w:r>
      <w:r>
        <w:rPr>
          <w:rFonts w:hint="eastAsia"/>
          <w:vertAlign w:val="subscript"/>
        </w:rPr>
        <w:t>min</w:t>
      </w:r>
      <w:r>
        <w:rPr>
          <w:rFonts w:hint="eastAsia"/>
          <w:color w:val="000000"/>
          <w:sz w:val="24"/>
          <w:szCs w:val="24"/>
        </w:rPr>
        <w:t>、</w:t>
      </w:r>
      <w:r>
        <w:rPr>
          <w:color w:val="000000"/>
          <w:sz w:val="24"/>
          <w:szCs w:val="24"/>
        </w:rPr>
        <w:t>起动电流</w:t>
      </w:r>
      <w:r>
        <w:rPr>
          <w:i/>
          <w:iCs/>
          <w:color w:val="000000"/>
          <w:sz w:val="24"/>
          <w:szCs w:val="24"/>
        </w:rPr>
        <w:t>I</w:t>
      </w:r>
      <w:r>
        <w:rPr>
          <w:color w:val="000000"/>
          <w:sz w:val="24"/>
          <w:szCs w:val="24"/>
          <w:vertAlign w:val="subscript"/>
        </w:rPr>
        <w:t>st</w:t>
      </w:r>
      <w:r>
        <w:rPr>
          <w:rFonts w:hint="eastAsia"/>
          <w:color w:val="000000"/>
          <w:sz w:val="24"/>
          <w:szCs w:val="24"/>
        </w:rPr>
        <w:t>的</w:t>
      </w:r>
      <w:r>
        <w:rPr>
          <w:color w:val="000000"/>
          <w:sz w:val="24"/>
          <w:szCs w:val="24"/>
        </w:rPr>
        <w:t>起动</w:t>
      </w:r>
      <w:r>
        <w:rPr>
          <w:rFonts w:hint="eastAsia"/>
          <w:color w:val="000000"/>
          <w:sz w:val="24"/>
          <w:szCs w:val="24"/>
        </w:rPr>
        <w:t>功率，电能表应</w:t>
      </w:r>
      <w:r>
        <w:rPr>
          <w:color w:val="000000"/>
          <w:sz w:val="24"/>
          <w:szCs w:val="24"/>
        </w:rPr>
        <w:t>能够连续</w:t>
      </w:r>
      <w:r>
        <w:rPr>
          <w:rFonts w:hint="eastAsia"/>
          <w:color w:val="000000"/>
          <w:sz w:val="24"/>
          <w:szCs w:val="24"/>
        </w:rPr>
        <w:t>输出</w:t>
      </w:r>
      <w:r>
        <w:rPr>
          <w:color w:val="000000"/>
          <w:sz w:val="24"/>
          <w:szCs w:val="24"/>
        </w:rPr>
        <w:t>脉冲</w:t>
      </w:r>
      <w:r>
        <w:rPr>
          <w:rFonts w:hint="eastAsia"/>
          <w:color w:val="000000"/>
          <w:sz w:val="24"/>
          <w:szCs w:val="24"/>
        </w:rPr>
        <w:t>（或信号）</w:t>
      </w:r>
      <w:bookmarkStart w:id="63" w:name="_Hlk132011539"/>
      <w:r>
        <w:rPr>
          <w:color w:val="000000"/>
          <w:sz w:val="24"/>
          <w:szCs w:val="24"/>
        </w:rPr>
        <w:t>；</w:t>
      </w:r>
      <w:bookmarkEnd w:id="63"/>
    </w:p>
    <w:p w14:paraId="5A994035">
      <w:pPr>
        <w:tabs>
          <w:tab w:val="left" w:pos="540"/>
        </w:tabs>
        <w:snapToGrid w:val="0"/>
        <w:spacing w:line="360" w:lineRule="auto"/>
        <w:ind w:firstLine="480" w:firstLineChars="200"/>
        <w:rPr>
          <w:color w:val="000000"/>
          <w:sz w:val="24"/>
          <w:szCs w:val="24"/>
        </w:rPr>
      </w:pPr>
      <w:r>
        <w:rPr>
          <w:rFonts w:hint="eastAsia"/>
          <w:color w:val="000000"/>
          <w:sz w:val="24"/>
          <w:szCs w:val="24"/>
        </w:rPr>
        <w:t>a） 误差测试法</w:t>
      </w:r>
    </w:p>
    <w:p w14:paraId="25F22ADA">
      <w:pPr>
        <w:tabs>
          <w:tab w:val="left" w:pos="540"/>
        </w:tabs>
        <w:snapToGrid w:val="0"/>
        <w:spacing w:line="360" w:lineRule="auto"/>
        <w:ind w:firstLine="480" w:firstLineChars="200"/>
        <w:rPr>
          <w:color w:val="000000"/>
          <w:sz w:val="24"/>
          <w:szCs w:val="24"/>
        </w:rPr>
      </w:pPr>
      <w:r>
        <w:rPr>
          <w:rFonts w:hint="eastAsia"/>
          <w:color w:val="000000"/>
          <w:sz w:val="24"/>
          <w:szCs w:val="24"/>
        </w:rPr>
        <w:t>在起动功率负载下测试电能表的相对误差，测试方法可以按7</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6</w:t>
      </w:r>
      <w:r>
        <w:rPr>
          <w:color w:val="000000"/>
          <w:sz w:val="24"/>
          <w:szCs w:val="24"/>
        </w:rPr>
        <w:t>.</w:t>
      </w:r>
      <w:r>
        <w:rPr>
          <w:rFonts w:hint="eastAsia"/>
          <w:color w:val="000000"/>
          <w:sz w:val="24"/>
          <w:szCs w:val="24"/>
        </w:rPr>
        <w:t>2用标准表法检定电能表。</w:t>
      </w:r>
    </w:p>
    <w:p w14:paraId="101994F6">
      <w:pPr>
        <w:tabs>
          <w:tab w:val="left" w:pos="540"/>
        </w:tabs>
        <w:snapToGrid w:val="0"/>
        <w:spacing w:line="360" w:lineRule="auto"/>
        <w:ind w:firstLine="480" w:firstLineChars="200"/>
        <w:rPr>
          <w:color w:val="000000"/>
          <w:sz w:val="24"/>
          <w:szCs w:val="24"/>
        </w:rPr>
      </w:pPr>
      <w:r>
        <w:rPr>
          <w:rFonts w:hint="eastAsia"/>
          <w:color w:val="000000"/>
          <w:sz w:val="24"/>
          <w:szCs w:val="24"/>
        </w:rPr>
        <w:t xml:space="preserve">b） </w:t>
      </w:r>
      <w:r>
        <w:rPr>
          <w:rFonts w:hint="eastAsia" w:ascii="宋体" w:hAnsi="宋体"/>
          <w:color w:val="000000"/>
          <w:sz w:val="24"/>
          <w:szCs w:val="24"/>
        </w:rPr>
        <w:t>时间限定法</w:t>
      </w:r>
    </w:p>
    <w:p w14:paraId="40745571">
      <w:pPr>
        <w:tabs>
          <w:tab w:val="left" w:pos="540"/>
        </w:tabs>
        <w:snapToGrid w:val="0"/>
        <w:spacing w:line="360" w:lineRule="auto"/>
        <w:ind w:firstLine="480" w:firstLineChars="200"/>
        <w:rPr>
          <w:color w:val="000000"/>
          <w:sz w:val="24"/>
          <w:szCs w:val="24"/>
        </w:rPr>
      </w:pPr>
      <w:r>
        <w:rPr>
          <w:rFonts w:hint="eastAsia"/>
          <w:color w:val="000000"/>
          <w:sz w:val="24"/>
          <w:szCs w:val="24"/>
        </w:rPr>
        <w:t>当检定装置不能满足方法a）时可以采用本方法。</w:t>
      </w:r>
    </w:p>
    <w:p w14:paraId="49FEB31B">
      <w:pPr>
        <w:tabs>
          <w:tab w:val="left" w:pos="540"/>
        </w:tabs>
        <w:snapToGrid w:val="0"/>
        <w:spacing w:line="360" w:lineRule="auto"/>
        <w:ind w:firstLine="480" w:firstLineChars="200"/>
        <w:rPr>
          <w:color w:val="000000"/>
          <w:sz w:val="24"/>
          <w:szCs w:val="24"/>
        </w:rPr>
      </w:pPr>
      <w:r>
        <w:rPr>
          <w:rFonts w:hint="eastAsia"/>
          <w:color w:val="000000"/>
          <w:sz w:val="24"/>
          <w:szCs w:val="24"/>
        </w:rPr>
        <w:t>检定装置输出稳定的起动功率负载，被检电能表应能连续输出脉冲（或信号），连续</w:t>
      </w:r>
      <w:r>
        <w:rPr>
          <w:color w:val="000000"/>
          <w:sz w:val="24"/>
          <w:szCs w:val="24"/>
        </w:rPr>
        <w:t>2</w:t>
      </w:r>
      <w:r>
        <w:rPr>
          <w:rFonts w:hint="eastAsia"/>
          <w:color w:val="000000"/>
          <w:sz w:val="24"/>
          <w:szCs w:val="24"/>
        </w:rPr>
        <w:t>个脉冲（或信号）的间隔时间应在式（4）规定的限定时间范围内。</w:t>
      </w:r>
    </w:p>
    <w:p w14:paraId="4B29F198">
      <w:pPr>
        <w:adjustRightInd w:val="0"/>
        <w:snapToGrid w:val="0"/>
        <w:spacing w:line="360" w:lineRule="auto"/>
        <w:jc w:val="right"/>
        <w:rPr>
          <w:color w:val="000000"/>
          <w:sz w:val="24"/>
          <w:szCs w:val="24"/>
        </w:rPr>
      </w:pPr>
      <w:r>
        <w:rPr>
          <w:position w:val="-30"/>
          <w:sz w:val="24"/>
          <w:szCs w:val="24"/>
        </w:rPr>
        <w:object>
          <v:shape id="_x0000_i1040" o:spt="75" type="#_x0000_t75" style="height:37.05pt;width:253.05pt;" o:ole="t" filled="f" o:preferrelative="t" stroked="f" coordsize="21600,21600">
            <v:path/>
            <v:fill on="f" focussize="0,0"/>
            <v:stroke on="f" joinstyle="miter"/>
            <v:imagedata r:id="rId39" o:title=""/>
            <o:lock v:ext="edit" aspectratio="t"/>
            <w10:wrap type="none"/>
            <w10:anchorlock/>
          </v:shape>
          <o:OLEObject Type="Embed" ProgID="Equation.DSMT4" ShapeID="_x0000_i1040" DrawAspect="Content" ObjectID="_1468075738" r:id="rId38">
            <o:LockedField>false</o:LockedField>
          </o:OLEObject>
        </w:object>
      </w:r>
      <w:r>
        <w:rPr>
          <w:color w:val="000000"/>
          <w:sz w:val="24"/>
          <w:szCs w:val="24"/>
        </w:rPr>
        <w:fldChar w:fldCharType="begin"/>
      </w:r>
      <w:r>
        <w:rPr>
          <w:color w:val="000000"/>
          <w:sz w:val="24"/>
          <w:szCs w:val="24"/>
        </w:rPr>
        <w:instrText xml:space="preserve"> QUOTE </w:instrText>
      </w:r>
      <w:r>
        <w:rPr>
          <w:position w:val="-21"/>
          <w:sz w:val="24"/>
          <w:szCs w:val="24"/>
        </w:rPr>
        <w:pict>
          <v:shape id="_x0000_i1041" o:spt="75" type="#_x0000_t75" style="height:31.65pt;width:92.4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hideSpellingErrors/&gt;&lt;w:hideGrammaticalErrors/&gt;&lt;w:stylePaneFormatFilter w:val=&quot;3F01&quot;/&gt;&lt;w:defaultTabStop w:val=&quot;420&quot;/&gt;&lt;w:evenAndOddHeaders/&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FELayout/&gt;&lt;/w:compat&gt;&lt;wsp:rsids&gt;&lt;wsp:rsidRoot wsp:val=&quot;003E57DC&quot;/&gt;&lt;wsp:rsid wsp:val=&quot;00001D02&quot;/&gt;&lt;wsp:rsid wsp:val=&quot;00001D29&quot;/&gt;&lt;wsp:rsid wsp:val=&quot;0000286B&quot;/&gt;&lt;wsp:rsid wsp:val=&quot;00002941&quot;/&gt;&lt;wsp:rsid wsp:val=&quot;00005D9D&quot;/&gt;&lt;wsp:rsid wsp:val=&quot;0001091D&quot;/&gt;&lt;wsp:rsid wsp:val=&quot;0001172D&quot;/&gt;&lt;wsp:rsid wsp:val=&quot;00014DDE&quot;/&gt;&lt;wsp:rsid wsp:val=&quot;00015620&quot;/&gt;&lt;wsp:rsid wsp:val=&quot;00016B52&quot;/&gt;&lt;wsp:rsid wsp:val=&quot;00016F13&quot;/&gt;&lt;wsp:rsid wsp:val=&quot;00022C00&quot;/&gt;&lt;wsp:rsid wsp:val=&quot;000233D9&quot;/&gt;&lt;wsp:rsid wsp:val=&quot;0002424B&quot;/&gt;&lt;wsp:rsid wsp:val=&quot;00024667&quot;/&gt;&lt;wsp:rsid wsp:val=&quot;00024AF0&quot;/&gt;&lt;wsp:rsid wsp:val=&quot;00025F5C&quot;/&gt;&lt;wsp:rsid wsp:val=&quot;00026624&quot;/&gt;&lt;wsp:rsid wsp:val=&quot;000317A6&quot;/&gt;&lt;wsp:rsid wsp:val=&quot;0003256A&quot;/&gt;&lt;wsp:rsid wsp:val=&quot;00033F3A&quot;/&gt;&lt;wsp:rsid wsp:val=&quot;0003443F&quot;/&gt;&lt;wsp:rsid wsp:val=&quot;00036322&quot;/&gt;&lt;wsp:rsid wsp:val=&quot;00037659&quot;/&gt;&lt;wsp:rsid wsp:val=&quot;000378E9&quot;/&gt;&lt;wsp:rsid wsp:val=&quot;00037B78&quot;/&gt;&lt;wsp:rsid wsp:val=&quot;00040099&quot;/&gt;&lt;wsp:rsid wsp:val=&quot;00040AC9&quot;/&gt;&lt;wsp:rsid wsp:val=&quot;00042C82&quot;/&gt;&lt;wsp:rsid wsp:val=&quot;0004375F&quot;/&gt;&lt;wsp:rsid wsp:val=&quot;00044E07&quot;/&gt;&lt;wsp:rsid wsp:val=&quot;00045CC8&quot;/&gt;&lt;wsp:rsid wsp:val=&quot;00046E57&quot;/&gt;&lt;wsp:rsid wsp:val=&quot;00046FA6&quot;/&gt;&lt;wsp:rsid wsp:val=&quot;00047C94&quot;/&gt;&lt;wsp:rsid wsp:val=&quot;00047CA8&quot;/&gt;&lt;wsp:rsid wsp:val=&quot;00050756&quot;/&gt;&lt;wsp:rsid wsp:val=&quot;00053387&quot;/&gt;&lt;wsp:rsid wsp:val=&quot;00053459&quot;/&gt;&lt;wsp:rsid wsp:val=&quot;00053AD4&quot;/&gt;&lt;wsp:rsid wsp:val=&quot;00055556&quot;/&gt;&lt;wsp:rsid wsp:val=&quot;0006051D&quot;/&gt;&lt;wsp:rsid wsp:val=&quot;00061FA3&quot;/&gt;&lt;wsp:rsid wsp:val=&quot;000634CE&quot;/&gt;&lt;wsp:rsid wsp:val=&quot;00063DC3&quot;/&gt;&lt;wsp:rsid wsp:val=&quot;00064A72&quot;/&gt;&lt;wsp:rsid wsp:val=&quot;00065C2F&quot;/&gt;&lt;wsp:rsid wsp:val=&quot;00066C59&quot;/&gt;&lt;wsp:rsid wsp:val=&quot;00066EB0&quot;/&gt;&lt;wsp:rsid wsp:val=&quot;00067D54&quot;/&gt;&lt;wsp:rsid wsp:val=&quot;00072B73&quot;/&gt;&lt;wsp:rsid wsp:val=&quot;00072C96&quot;/&gt;&lt;wsp:rsid wsp:val=&quot;00072D48&quot;/&gt;&lt;wsp:rsid wsp:val=&quot;00073359&quot;/&gt;&lt;wsp:rsid wsp:val=&quot;0007353C&quot;/&gt;&lt;wsp:rsid wsp:val=&quot;00074AB8&quot;/&gt;&lt;wsp:rsid wsp:val=&quot;00075848&quot;/&gt;&lt;wsp:rsid wsp:val=&quot;00077656&quot;/&gt;&lt;wsp:rsid wsp:val=&quot;00080E6B&quot;/&gt;&lt;wsp:rsid wsp:val=&quot;00080EC4&quot;/&gt;&lt;wsp:rsid wsp:val=&quot;0008215F&quot;/&gt;&lt;wsp:rsid wsp:val=&quot;00083670&quot;/&gt;&lt;wsp:rsid wsp:val=&quot;000857C2&quot;/&gt;&lt;wsp:rsid wsp:val=&quot;00085F40&quot;/&gt;&lt;wsp:rsid wsp:val=&quot;00087FB5&quot;/&gt;&lt;wsp:rsid wsp:val=&quot;00091824&quot;/&gt;&lt;wsp:rsid wsp:val=&quot;0009230B&quot;/&gt;&lt;wsp:rsid wsp:val=&quot;0009237E&quot;/&gt;&lt;wsp:rsid wsp:val=&quot;00093D7E&quot;/&gt;&lt;wsp:rsid wsp:val=&quot;0009412D&quot;/&gt;&lt;wsp:rsid wsp:val=&quot;00095FED&quot;/&gt;&lt;wsp:rsid wsp:val=&quot;0009664D&quot;/&gt;&lt;wsp:rsid wsp:val=&quot;000A0317&quot;/&gt;&lt;wsp:rsid wsp:val=&quot;000A0773&quot;/&gt;&lt;wsp:rsid wsp:val=&quot;000A0815&quot;/&gt;&lt;wsp:rsid wsp:val=&quot;000A136E&quot;/&gt;&lt;wsp:rsid wsp:val=&quot;000A3DFB&quot;/&gt;&lt;wsp:rsid wsp:val=&quot;000B009F&quot;/&gt;&lt;wsp:rsid wsp:val=&quot;000B0193&quot;/&gt;&lt;wsp:rsid wsp:val=&quot;000B0A22&quot;/&gt;&lt;wsp:rsid wsp:val=&quot;000B1491&quot;/&gt;&lt;wsp:rsid wsp:val=&quot;000B192D&quot;/&gt;&lt;wsp:rsid wsp:val=&quot;000B2DF5&quot;/&gt;&lt;wsp:rsid wsp:val=&quot;000B5F96&quot;/&gt;&lt;wsp:rsid wsp:val=&quot;000B6F92&quot;/&gt;&lt;wsp:rsid wsp:val=&quot;000C0BA5&quot;/&gt;&lt;wsp:rsid wsp:val=&quot;000C0BF1&quot;/&gt;&lt;wsp:rsid wsp:val=&quot;000C1305&quot;/&gt;&lt;wsp:rsid wsp:val=&quot;000C1654&quot;/&gt;&lt;wsp:rsid wsp:val=&quot;000C332D&quot;/&gt;&lt;wsp:rsid wsp:val=&quot;000C3685&quot;/&gt;&lt;wsp:rsid wsp:val=&quot;000C462B&quot;/&gt;&lt;wsp:rsid wsp:val=&quot;000C5954&quot;/&gt;&lt;wsp:rsid wsp:val=&quot;000D1893&quot;/&gt;&lt;wsp:rsid wsp:val=&quot;000D38E3&quot;/&gt;&lt;wsp:rsid wsp:val=&quot;000D5D01&quot;/&gt;&lt;wsp:rsid wsp:val=&quot;000E14B5&quot;/&gt;&lt;wsp:rsid wsp:val=&quot;000E1A4A&quot;/&gt;&lt;wsp:rsid wsp:val=&quot;000E1C71&quot;/&gt;&lt;wsp:rsid wsp:val=&quot;000E2A96&quot;/&gt;&lt;wsp:rsid wsp:val=&quot;000E45BE&quot;/&gt;&lt;wsp:rsid wsp:val=&quot;000E6109&quot;/&gt;&lt;wsp:rsid wsp:val=&quot;000E63CE&quot;/&gt;&lt;wsp:rsid wsp:val=&quot;000E657B&quot;/&gt;&lt;wsp:rsid wsp:val=&quot;000E6BA9&quot;/&gt;&lt;wsp:rsid wsp:val=&quot;000E7528&quot;/&gt;&lt;wsp:rsid wsp:val=&quot;000F0556&quot;/&gt;&lt;wsp:rsid wsp:val=&quot;000F1379&quot;/&gt;&lt;wsp:rsid wsp:val=&quot;000F23E6&quot;/&gt;&lt;wsp:rsid wsp:val=&quot;000F2911&quot;/&gt;&lt;wsp:rsid wsp:val=&quot;000F3496&quot;/&gt;&lt;wsp:rsid wsp:val=&quot;00100B06&quot;/&gt;&lt;wsp:rsid wsp:val=&quot;00100EC6&quot;/&gt;&lt;wsp:rsid wsp:val=&quot;00102A5E&quot;/&gt;&lt;wsp:rsid wsp:val=&quot;00102CBD&quot;/&gt;&lt;wsp:rsid wsp:val=&quot;001041B2&quot;/&gt;&lt;wsp:rsid wsp:val=&quot;00104630&quot;/&gt;&lt;wsp:rsid wsp:val=&quot;00104D90&quot;/&gt;&lt;wsp:rsid wsp:val=&quot;0011502B&quot;/&gt;&lt;wsp:rsid wsp:val=&quot;00116A13&quot;/&gt;&lt;wsp:rsid wsp:val=&quot;00117298&quot;/&gt;&lt;wsp:rsid wsp:val=&quot;001205BB&quot;/&gt;&lt;wsp:rsid wsp:val=&quot;00121815&quot;/&gt;&lt;wsp:rsid wsp:val=&quot;00123423&quot;/&gt;&lt;wsp:rsid wsp:val=&quot;00124201&quot;/&gt;&lt;wsp:rsid wsp:val=&quot;0012424F&quot;/&gt;&lt;wsp:rsid wsp:val=&quot;00124437&quot;/&gt;&lt;wsp:rsid wsp:val=&quot;00126789&quot;/&gt;&lt;wsp:rsid wsp:val=&quot;00130D4D&quot;/&gt;&lt;wsp:rsid wsp:val=&quot;00132687&quot;/&gt;&lt;wsp:rsid wsp:val=&quot;0013514E&quot;/&gt;&lt;wsp:rsid wsp:val=&quot;00135D72&quot;/&gt;&lt;wsp:rsid wsp:val=&quot;001372C6&quot;/&gt;&lt;wsp:rsid wsp:val=&quot;001378A0&quot;/&gt;&lt;wsp:rsid wsp:val=&quot;00137DDB&quot;/&gt;&lt;wsp:rsid wsp:val=&quot;001400E0&quot;/&gt;&lt;wsp:rsid wsp:val=&quot;00140187&quot;/&gt;&lt;wsp:rsid wsp:val=&quot;0014150C&quot;/&gt;&lt;wsp:rsid wsp:val=&quot;00142D2D&quot;/&gt;&lt;wsp:rsid wsp:val=&quot;0014422E&quot;/&gt;&lt;wsp:rsid wsp:val=&quot;001467FE&quot;/&gt;&lt;wsp:rsid wsp:val=&quot;001477D5&quot;/&gt;&lt;wsp:rsid wsp:val=&quot;00151069&quot;/&gt;&lt;wsp:rsid wsp:val=&quot;00151119&quot;/&gt;&lt;wsp:rsid wsp:val=&quot;001514D1&quot;/&gt;&lt;wsp:rsid wsp:val=&quot;00152813&quot;/&gt;&lt;wsp:rsid wsp:val=&quot;00152E87&quot;/&gt;&lt;wsp:rsid wsp:val=&quot;00156D9C&quot;/&gt;&lt;wsp:rsid wsp:val=&quot;001572CF&quot;/&gt;&lt;wsp:rsid wsp:val=&quot;00161224&quot;/&gt;&lt;wsp:rsid wsp:val=&quot;001644A0&quot;/&gt;&lt;wsp:rsid wsp:val=&quot;00164C13&quot;/&gt;&lt;wsp:rsid wsp:val=&quot;00166510&quot;/&gt;&lt;wsp:rsid wsp:val=&quot;00166753&quot;/&gt;&lt;wsp:rsid wsp:val=&quot;00173051&quot;/&gt;&lt;wsp:rsid wsp:val=&quot;00174539&quot;/&gt;&lt;wsp:rsid wsp:val=&quot;00174875&quot;/&gt;&lt;wsp:rsid wsp:val=&quot;00174CE5&quot;/&gt;&lt;wsp:rsid wsp:val=&quot;00175CCD&quot;/&gt;&lt;wsp:rsid wsp:val=&quot;00176A68&quot;/&gt;&lt;wsp:rsid wsp:val=&quot;0017751E&quot;/&gt;&lt;wsp:rsid wsp:val=&quot;00180856&quot;/&gt;&lt;wsp:rsid wsp:val=&quot;001817D4&quot;/&gt;&lt;wsp:rsid wsp:val=&quot;00182FC3&quot;/&gt;&lt;wsp:rsid wsp:val=&quot;00183047&quot;/&gt;&lt;wsp:rsid wsp:val=&quot;0018337E&quot;/&gt;&lt;wsp:rsid wsp:val=&quot;00184827&quot;/&gt;&lt;wsp:rsid wsp:val=&quot;00184829&quot;/&gt;&lt;wsp:rsid wsp:val=&quot;001851C6&quot;/&gt;&lt;wsp:rsid wsp:val=&quot;00186D63&quot;/&gt;&lt;wsp:rsid wsp:val=&quot;00186F40&quot;/&gt;&lt;wsp:rsid wsp:val=&quot;0018776B&quot;/&gt;&lt;wsp:rsid wsp:val=&quot;00194145&quot;/&gt;&lt;wsp:rsid wsp:val=&quot;00196BF2&quot;/&gt;&lt;wsp:rsid wsp:val=&quot;001972F6&quot;/&gt;&lt;wsp:rsid wsp:val=&quot;00197FB6&quot;/&gt;&lt;wsp:rsid wsp:val=&quot;001A3FF9&quot;/&gt;&lt;wsp:rsid wsp:val=&quot;001A4954&quot;/&gt;&lt;wsp:rsid wsp:val=&quot;001A6B71&quot;/&gt;&lt;wsp:rsid wsp:val=&quot;001B01F3&quot;/&gt;&lt;wsp:rsid wsp:val=&quot;001B13F5&quot;/&gt;&lt;wsp:rsid wsp:val=&quot;001B2528&quot;/&gt;&lt;wsp:rsid wsp:val=&quot;001B379D&quot;/&gt;&lt;wsp:rsid wsp:val=&quot;001B3E39&quot;/&gt;&lt;wsp:rsid wsp:val=&quot;001B587A&quot;/&gt;&lt;wsp:rsid wsp:val=&quot;001B68B3&quot;/&gt;&lt;wsp:rsid wsp:val=&quot;001B764A&quot;/&gt;&lt;wsp:rsid wsp:val=&quot;001C2246&quot;/&gt;&lt;wsp:rsid wsp:val=&quot;001C2E9F&quot;/&gt;&lt;wsp:rsid wsp:val=&quot;001C72E9&quot;/&gt;&lt;wsp:rsid wsp:val=&quot;001D0510&quot;/&gt;&lt;wsp:rsid wsp:val=&quot;001D1DDF&quot;/&gt;&lt;wsp:rsid wsp:val=&quot;001D25F1&quot;/&gt;&lt;wsp:rsid wsp:val=&quot;001D4F59&quot;/&gt;&lt;wsp:rsid wsp:val=&quot;001E1AEA&quot;/&gt;&lt;wsp:rsid wsp:val=&quot;001E3FBA&quot;/&gt;&lt;wsp:rsid wsp:val=&quot;001E42B4&quot;/&gt;&lt;wsp:rsid wsp:val=&quot;001E4900&quot;/&gt;&lt;wsp:rsid wsp:val=&quot;001E5A3C&quot;/&gt;&lt;wsp:rsid wsp:val=&quot;001E5B1A&quot;/&gt;&lt;wsp:rsid wsp:val=&quot;001E6307&quot;/&gt;&lt;wsp:rsid wsp:val=&quot;001F098A&quot;/&gt;&lt;wsp:rsid wsp:val=&quot;001F3041&quot;/&gt;&lt;wsp:rsid wsp:val=&quot;001F4A92&quot;/&gt;&lt;wsp:rsid wsp:val=&quot;001F5C10&quot;/&gt;&lt;wsp:rsid wsp:val=&quot;001F636F&quot;/&gt;&lt;wsp:rsid wsp:val=&quot;001F75CE&quot;/&gt;&lt;wsp:rsid wsp:val=&quot;00200B80&quot;/&gt;&lt;wsp:rsid wsp:val=&quot;002010B6&quot;/&gt;&lt;wsp:rsid wsp:val=&quot;00202255&quot;/&gt;&lt;wsp:rsid wsp:val=&quot;002054D1&quot;/&gt;&lt;wsp:rsid wsp:val=&quot;002054D2&quot;/&gt;&lt;wsp:rsid wsp:val=&quot;0020556B&quot;/&gt;&lt;wsp:rsid wsp:val=&quot;002065DB&quot;/&gt;&lt;wsp:rsid wsp:val=&quot;0020715A&quot;/&gt;&lt;wsp:rsid wsp:val=&quot;00207B44&quot;/&gt;&lt;wsp:rsid wsp:val=&quot;002101C7&quot;/&gt;&lt;wsp:rsid wsp:val=&quot;00210CEB&quot;/&gt;&lt;wsp:rsid wsp:val=&quot;0021370C&quot;/&gt;&lt;wsp:rsid wsp:val=&quot;00214312&quot;/&gt;&lt;wsp:rsid wsp:val=&quot;0021548E&quot;/&gt;&lt;wsp:rsid wsp:val=&quot;00221E24&quot;/&gt;&lt;wsp:rsid wsp:val=&quot;0022381B&quot;/&gt;&lt;wsp:rsid wsp:val=&quot;002240C7&quot;/&gt;&lt;wsp:rsid wsp:val=&quot;0022525E&quot;/&gt;&lt;wsp:rsid wsp:val=&quot;00227656&quot;/&gt;&lt;wsp:rsid wsp:val=&quot;0023669B&quot;/&gt;&lt;wsp:rsid wsp:val=&quot;00237D71&quot;/&gt;&lt;wsp:rsid wsp:val=&quot;002409DC&quot;/&gt;&lt;wsp:rsid wsp:val=&quot;00243BD0&quot;/&gt;&lt;wsp:rsid wsp:val=&quot;002460B8&quot;/&gt;&lt;wsp:rsid wsp:val=&quot;0024749F&quot;/&gt;&lt;wsp:rsid wsp:val=&quot;0025044E&quot;/&gt;&lt;wsp:rsid wsp:val=&quot;00250525&quot;/&gt;&lt;wsp:rsid wsp:val=&quot;0025237E&quot;/&gt;&lt;wsp:rsid wsp:val=&quot;002528A7&quot;/&gt;&lt;wsp:rsid wsp:val=&quot;00253500&quot;/&gt;&lt;wsp:rsid wsp:val=&quot;00254401&quot;/&gt;&lt;wsp:rsid wsp:val=&quot;002559F6&quot;/&gt;&lt;wsp:rsid wsp:val=&quot;00255F92&quot;/&gt;&lt;wsp:rsid wsp:val=&quot;002564A7&quot;/&gt;&lt;wsp:rsid wsp:val=&quot;00257A0F&quot;/&gt;&lt;wsp:rsid wsp:val=&quot;00260D04&quot;/&gt;&lt;wsp:rsid wsp:val=&quot;002640F6&quot;/&gt;&lt;wsp:rsid wsp:val=&quot;0026795E&quot;/&gt;&lt;wsp:rsid wsp:val=&quot;00270714&quot;/&gt;&lt;wsp:rsid wsp:val=&quot;00270B62&quot;/&gt;&lt;wsp:rsid wsp:val=&quot;00275871&quot;/&gt;&lt;wsp:rsid wsp:val=&quot;00277854&quot;/&gt;&lt;wsp:rsid wsp:val=&quot;002830BE&quot;/&gt;&lt;wsp:rsid wsp:val=&quot;00283F35&quot;/&gt;&lt;wsp:rsid wsp:val=&quot;00286A92&quot;/&gt;&lt;wsp:rsid wsp:val=&quot;00286F39&quot;/&gt;&lt;wsp:rsid wsp:val=&quot;0028768B&quot;/&gt;&lt;wsp:rsid wsp:val=&quot;00287714&quot;/&gt;&lt;wsp:rsid wsp:val=&quot;002908E4&quot;/&gt;&lt;wsp:rsid wsp:val=&quot;00290A81&quot;/&gt;&lt;wsp:rsid wsp:val=&quot;00291089&quot;/&gt;&lt;wsp:rsid wsp:val=&quot;00291934&quot;/&gt;&lt;wsp:rsid wsp:val=&quot;00293ACB&quot;/&gt;&lt;wsp:rsid wsp:val=&quot;00295CF2&quot;/&gt;&lt;wsp:rsid wsp:val=&quot;00297E2B&quot;/&gt;&lt;wsp:rsid wsp:val=&quot;002A2694&quot;/&gt;&lt;wsp:rsid wsp:val=&quot;002A2D29&quot;/&gt;&lt;wsp:rsid wsp:val=&quot;002A309C&quot;/&gt;&lt;wsp:rsid wsp:val=&quot;002A39F1&quot;/&gt;&lt;wsp:rsid wsp:val=&quot;002A41B1&quot;/&gt;&lt;wsp:rsid wsp:val=&quot;002A4475&quot;/&gt;&lt;wsp:rsid wsp:val=&quot;002A7DE4&quot;/&gt;&lt;wsp:rsid wsp:val=&quot;002B324F&quot;/&gt;&lt;wsp:rsid wsp:val=&quot;002B4303&quot;/&gt;&lt;wsp:rsid wsp:val=&quot;002B7D92&quot;/&gt;&lt;wsp:rsid wsp:val=&quot;002B7E43&quot;/&gt;&lt;wsp:rsid wsp:val=&quot;002C131A&quot;/&gt;&lt;wsp:rsid wsp:val=&quot;002C2850&quot;/&gt;&lt;wsp:rsid wsp:val=&quot;002C298F&quot;/&gt;&lt;wsp:rsid wsp:val=&quot;002C33FC&quot;/&gt;&lt;wsp:rsid wsp:val=&quot;002C44E0&quot;/&gt;&lt;wsp:rsid wsp:val=&quot;002C4A90&quot;/&gt;&lt;wsp:rsid wsp:val=&quot;002C6C7B&quot;/&gt;&lt;wsp:rsid wsp:val=&quot;002C73B2&quot;/&gt;&lt;wsp:rsid wsp:val=&quot;002C740E&quot;/&gt;&lt;wsp:rsid wsp:val=&quot;002C7A06&quot;/&gt;&lt;wsp:rsid wsp:val=&quot;002D0D48&quot;/&gt;&lt;wsp:rsid wsp:val=&quot;002D11A7&quot;/&gt;&lt;wsp:rsid wsp:val=&quot;002D3E8B&quot;/&gt;&lt;wsp:rsid wsp:val=&quot;002D45F4&quot;/&gt;&lt;wsp:rsid wsp:val=&quot;002D48B9&quot;/&gt;&lt;wsp:rsid wsp:val=&quot;002D51E6&quot;/&gt;&lt;wsp:rsid wsp:val=&quot;002D6517&quot;/&gt;&lt;wsp:rsid wsp:val=&quot;002D6EC7&quot;/&gt;&lt;wsp:rsid wsp:val=&quot;002D7182&quot;/&gt;&lt;wsp:rsid wsp:val=&quot;002D7466&quot;/&gt;&lt;wsp:rsid wsp:val=&quot;002D7A27&quot;/&gt;&lt;wsp:rsid wsp:val=&quot;002E1529&quot;/&gt;&lt;wsp:rsid wsp:val=&quot;002E1B25&quot;/&gt;&lt;wsp:rsid wsp:val=&quot;002E7205&quot;/&gt;&lt;wsp:rsid wsp:val=&quot;002F2566&quot;/&gt;&lt;wsp:rsid wsp:val=&quot;002F4C1E&quot;/&gt;&lt;wsp:rsid wsp:val=&quot;002F5D49&quot;/&gt;&lt;wsp:rsid wsp:val=&quot;002F79AC&quot;/&gt;&lt;wsp:rsid wsp:val=&quot;00301CD4&quot;/&gt;&lt;wsp:rsid wsp:val=&quot;00302FFE&quot;/&gt;&lt;wsp:rsid wsp:val=&quot;003031AD&quot;/&gt;&lt;wsp:rsid wsp:val=&quot;00304CD8&quot;/&gt;&lt;wsp:rsid wsp:val=&quot;003068B5&quot;/&gt;&lt;wsp:rsid wsp:val=&quot;00307197&quot;/&gt;&lt;wsp:rsid wsp:val=&quot;00310C22&quot;/&gt;&lt;wsp:rsid wsp:val=&quot;00311FBE&quot;/&gt;&lt;wsp:rsid wsp:val=&quot;00314B15&quot;/&gt;&lt;wsp:rsid wsp:val=&quot;00315966&quot;/&gt;&lt;wsp:rsid wsp:val=&quot;00316195&quot;/&gt;&lt;wsp:rsid wsp:val=&quot;003170A0&quot;/&gt;&lt;wsp:rsid wsp:val=&quot;0032126A&quot;/&gt;&lt;wsp:rsid wsp:val=&quot;00323548&quot;/&gt;&lt;wsp:rsid wsp:val=&quot;00323962&quot;/&gt;&lt;wsp:rsid wsp:val=&quot;003247B3&quot;/&gt;&lt;wsp:rsid wsp:val=&quot;00325AE0&quot;/&gt;&lt;wsp:rsid wsp:val=&quot;00325DE0&quot;/&gt;&lt;wsp:rsid wsp:val=&quot;003263DE&quot;/&gt;&lt;wsp:rsid wsp:val=&quot;00326629&quot;/&gt;&lt;wsp:rsid wsp:val=&quot;00326920&quot;/&gt;&lt;wsp:rsid wsp:val=&quot;00326E16&quot;/&gt;&lt;wsp:rsid wsp:val=&quot;00327B34&quot;/&gt;&lt;wsp:rsid wsp:val=&quot;00331543&quot;/&gt;&lt;wsp:rsid wsp:val=&quot;00331662&quot;/&gt;&lt;wsp:rsid wsp:val=&quot;00332E2E&quot;/&gt;&lt;wsp:rsid wsp:val=&quot;00332EAB&quot;/&gt;&lt;wsp:rsid wsp:val=&quot;00334A28&quot;/&gt;&lt;wsp:rsid wsp:val=&quot;00335348&quot;/&gt;&lt;wsp:rsid wsp:val=&quot;00335849&quot;/&gt;&lt;wsp:rsid wsp:val=&quot;00337248&quot;/&gt;&lt;wsp:rsid wsp:val=&quot;003410B6&quot;/&gt;&lt;wsp:rsid wsp:val=&quot;00341F90&quot;/&gt;&lt;wsp:rsid wsp:val=&quot;003430B7&quot;/&gt;&lt;wsp:rsid wsp:val=&quot;00354030&quot;/&gt;&lt;wsp:rsid wsp:val=&quot;00354CD5&quot;/&gt;&lt;wsp:rsid wsp:val=&quot;00354F64&quot;/&gt;&lt;wsp:rsid wsp:val=&quot;00354FC6&quot;/&gt;&lt;wsp:rsid wsp:val=&quot;0035782B&quot;/&gt;&lt;wsp:rsid wsp:val=&quot;003637C0&quot;/&gt;&lt;wsp:rsid wsp:val=&quot;00363808&quot;/&gt;&lt;wsp:rsid wsp:val=&quot;00363BFF&quot;/&gt;&lt;wsp:rsid wsp:val=&quot;00363D31&quot;/&gt;&lt;wsp:rsid wsp:val=&quot;00363E46&quot;/&gt;&lt;wsp:rsid wsp:val=&quot;00365193&quot;/&gt;&lt;wsp:rsid wsp:val=&quot;0036568C&quot;/&gt;&lt;wsp:rsid wsp:val=&quot;003668E2&quot;/&gt;&lt;wsp:rsid wsp:val=&quot;00367174&quot;/&gt;&lt;wsp:rsid wsp:val=&quot;00373085&quot;/&gt;&lt;wsp:rsid wsp:val=&quot;003730CD&quot;/&gt;&lt;wsp:rsid wsp:val=&quot;00373832&quot;/&gt;&lt;wsp:rsid wsp:val=&quot;00374770&quot;/&gt;&lt;wsp:rsid wsp:val=&quot;00374E4D&quot;/&gt;&lt;wsp:rsid wsp:val=&quot;003751FB&quot;/&gt;&lt;wsp:rsid wsp:val=&quot;003765C8&quot;/&gt;&lt;wsp:rsid wsp:val=&quot;00376B70&quot;/&gt;&lt;wsp:rsid wsp:val=&quot;003770C1&quot;/&gt;&lt;wsp:rsid wsp:val=&quot;003778D7&quot;/&gt;&lt;wsp:rsid wsp:val=&quot;00380BF4&quot;/&gt;&lt;wsp:rsid wsp:val=&quot;00382369&quot;/&gt;&lt;wsp:rsid wsp:val=&quot;00384C3C&quot;/&gt;&lt;wsp:rsid wsp:val=&quot;003876EE&quot;/&gt;&lt;wsp:rsid wsp:val=&quot;00387BFC&quot;/&gt;&lt;wsp:rsid wsp:val=&quot;00390AAE&quot;/&gt;&lt;wsp:rsid wsp:val=&quot;00391C24&quot;/&gt;&lt;wsp:rsid wsp:val=&quot;0039308F&quot;/&gt;&lt;wsp:rsid wsp:val=&quot;00394189&quot;/&gt;&lt;wsp:rsid wsp:val=&quot;00394671&quot;/&gt;&lt;wsp:rsid wsp:val=&quot;00397102&quot;/&gt;&lt;wsp:rsid wsp:val=&quot;003972AC&quot;/&gt;&lt;wsp:rsid wsp:val=&quot;00397E63&quot;/&gt;&lt;wsp:rsid wsp:val=&quot;003A088B&quot;/&gt;&lt;wsp:rsid wsp:val=&quot;003A08D5&quot;/&gt;&lt;wsp:rsid wsp:val=&quot;003A1EE5&quot;/&gt;&lt;wsp:rsid wsp:val=&quot;003A33E9&quot;/&gt;&lt;wsp:rsid wsp:val=&quot;003A4559&quot;/&gt;&lt;wsp:rsid wsp:val=&quot;003A4ED4&quot;/&gt;&lt;wsp:rsid wsp:val=&quot;003A71A5&quot;/&gt;&lt;wsp:rsid wsp:val=&quot;003B0835&quot;/&gt;&lt;wsp:rsid wsp:val=&quot;003B3326&quot;/&gt;&lt;wsp:rsid wsp:val=&quot;003B5084&quot;/&gt;&lt;wsp:rsid wsp:val=&quot;003C0311&quot;/&gt;&lt;wsp:rsid wsp:val=&quot;003C1021&quot;/&gt;&lt;wsp:rsid wsp:val=&quot;003C56B1&quot;/&gt;&lt;wsp:rsid wsp:val=&quot;003C6C82&quot;/&gt;&lt;wsp:rsid wsp:val=&quot;003D2EFC&quot;/&gt;&lt;wsp:rsid wsp:val=&quot;003D6CE6&quot;/&gt;&lt;wsp:rsid wsp:val=&quot;003D6ED0&quot;/&gt;&lt;wsp:rsid wsp:val=&quot;003D7B46&quot;/&gt;&lt;wsp:rsid wsp:val=&quot;003D7BFF&quot;/&gt;&lt;wsp:rsid wsp:val=&quot;003E06C9&quot;/&gt;&lt;wsp:rsid wsp:val=&quot;003E108E&quot;/&gt;&lt;wsp:rsid wsp:val=&quot;003E1A56&quot;/&gt;&lt;wsp:rsid wsp:val=&quot;003E1D00&quot;/&gt;&lt;wsp:rsid wsp:val=&quot;003E2A98&quot;/&gt;&lt;wsp:rsid wsp:val=&quot;003E40C5&quot;/&gt;&lt;wsp:rsid wsp:val=&quot;003E4413&quot;/&gt;&lt;wsp:rsid wsp:val=&quot;003E50C6&quot;/&gt;&lt;wsp:rsid wsp:val=&quot;003E57DC&quot;/&gt;&lt;wsp:rsid wsp:val=&quot;003E6E4E&quot;/&gt;&lt;wsp:rsid wsp:val=&quot;003F11CD&quot;/&gt;&lt;wsp:rsid wsp:val=&quot;003F3F29&quot;/&gt;&lt;wsp:rsid wsp:val=&quot;003F4472&quot;/&gt;&lt;wsp:rsid wsp:val=&quot;003F480C&quot;/&gt;&lt;wsp:rsid wsp:val=&quot;003F590A&quot;/&gt;&lt;wsp:rsid wsp:val=&quot;003F68E3&quot;/&gt;&lt;wsp:rsid wsp:val=&quot;0040178D&quot;/&gt;&lt;wsp:rsid wsp:val=&quot;00402194&quot;/&gt;&lt;wsp:rsid wsp:val=&quot;00403315&quot;/&gt;&lt;wsp:rsid wsp:val=&quot;00405788&quot;/&gt;&lt;wsp:rsid wsp:val=&quot;004103A2&quot;/&gt;&lt;wsp:rsid wsp:val=&quot;0041169F&quot;/&gt;&lt;wsp:rsid wsp:val=&quot;00411C63&quot;/&gt;&lt;wsp:rsid wsp:val=&quot;004126E1&quot;/&gt;&lt;wsp:rsid wsp:val=&quot;0041275B&quot;/&gt;&lt;wsp:rsid wsp:val=&quot;00413AE3&quot;/&gt;&lt;wsp:rsid wsp:val=&quot;00413D84&quot;/&gt;&lt;wsp:rsid wsp:val=&quot;00415D28&quot;/&gt;&lt;wsp:rsid wsp:val=&quot;00416268&quot;/&gt;&lt;wsp:rsid wsp:val=&quot;0041737D&quot;/&gt;&lt;wsp:rsid wsp:val=&quot;004207E4&quot;/&gt;&lt;wsp:rsid wsp:val=&quot;00424072&quot;/&gt;&lt;wsp:rsid wsp:val=&quot;00424210&quot;/&gt;&lt;wsp:rsid wsp:val=&quot;00425A9F&quot;/&gt;&lt;wsp:rsid wsp:val=&quot;00425E8B&quot;/&gt;&lt;wsp:rsid wsp:val=&quot;00427C2A&quot;/&gt;&lt;wsp:rsid wsp:val=&quot;0043054B&quot;/&gt;&lt;wsp:rsid wsp:val=&quot;0043124A&quot;/&gt;&lt;wsp:rsid wsp:val=&quot;00433539&quot;/&gt;&lt;wsp:rsid wsp:val=&quot;00434E68&quot;/&gt;&lt;wsp:rsid wsp:val=&quot;004402BB&quot;/&gt;&lt;wsp:rsid wsp:val=&quot;00441733&quot;/&gt;&lt;wsp:rsid wsp:val=&quot;004417E3&quot;/&gt;&lt;wsp:rsid wsp:val=&quot;00441FB3&quot;/&gt;&lt;wsp:rsid wsp:val=&quot;0044237F&quot;/&gt;&lt;wsp:rsid wsp:val=&quot;004435E2&quot;/&gt;&lt;wsp:rsid wsp:val=&quot;00445BF7&quot;/&gt;&lt;wsp:rsid wsp:val=&quot;00450303&quot;/&gt;&lt;wsp:rsid wsp:val=&quot;00452A9C&quot;/&gt;&lt;wsp:rsid wsp:val=&quot;00454369&quot;/&gt;&lt;wsp:rsid wsp:val=&quot;00454902&quot;/&gt;&lt;wsp:rsid wsp:val=&quot;00454D64&quot;/&gt;&lt;wsp:rsid wsp:val=&quot;00457620&quot;/&gt;&lt;wsp:rsid wsp:val=&quot;0046022E&quot;/&gt;&lt;wsp:rsid wsp:val=&quot;00460845&quot;/&gt;&lt;wsp:rsid wsp:val=&quot;00460E77&quot;/&gt;&lt;wsp:rsid wsp:val=&quot;004630EE&quot;/&gt;&lt;wsp:rsid wsp:val=&quot;00463FB6&quot;/&gt;&lt;wsp:rsid wsp:val=&quot;004675BB&quot;/&gt;&lt;wsp:rsid wsp:val=&quot;00470539&quot;/&gt;&lt;wsp:rsid wsp:val=&quot;004714F0&quot;/&gt;&lt;wsp:rsid wsp:val=&quot;00471742&quot;/&gt;&lt;wsp:rsid wsp:val=&quot;00472549&quot;/&gt;&lt;wsp:rsid wsp:val=&quot;00472B85&quot;/&gt;&lt;wsp:rsid wsp:val=&quot;00473AD9&quot;/&gt;&lt;wsp:rsid wsp:val=&quot;00473E92&quot;/&gt;&lt;wsp:rsid wsp:val=&quot;00473ED7&quot;/&gt;&lt;wsp:rsid wsp:val=&quot;00475CB5&quot;/&gt;&lt;wsp:rsid wsp:val=&quot;00475F88&quot;/&gt;&lt;wsp:rsid wsp:val=&quot;00480384&quot;/&gt;&lt;wsp:rsid wsp:val=&quot;00480D39&quot;/&gt;&lt;wsp:rsid wsp:val=&quot;00480D99&quot;/&gt;&lt;wsp:rsid wsp:val=&quot;0048136F&quot;/&gt;&lt;wsp:rsid wsp:val=&quot;00481EFB&quot;/&gt;&lt;wsp:rsid wsp:val=&quot;004829CD&quot;/&gt;&lt;wsp:rsid wsp:val=&quot;0048420E&quot;/&gt;&lt;wsp:rsid wsp:val=&quot;004854A5&quot;/&gt;&lt;wsp:rsid wsp:val=&quot;0048779C&quot;/&gt;&lt;wsp:rsid wsp:val=&quot;00487B3C&quot;/&gt;&lt;wsp:rsid wsp:val=&quot;00487D35&quot;/&gt;&lt;wsp:rsid wsp:val=&quot;004905BB&quot;/&gt;&lt;wsp:rsid wsp:val=&quot;004909CF&quot;/&gt;&lt;wsp:rsid wsp:val=&quot;00491711&quot;/&gt;&lt;wsp:rsid wsp:val=&quot;004923A0&quot;/&gt;&lt;wsp:rsid wsp:val=&quot;00492787&quot;/&gt;&lt;wsp:rsid wsp:val=&quot;00492C77&quot;/&gt;&lt;wsp:rsid wsp:val=&quot;0049405B&quot;/&gt;&lt;wsp:rsid wsp:val=&quot;004941D8&quot;/&gt;&lt;wsp:rsid wsp:val=&quot;00494D88&quot;/&gt;&lt;wsp:rsid wsp:val=&quot;00497C36&quot;/&gt;&lt;wsp:rsid wsp:val=&quot;004A01F5&quot;/&gt;&lt;wsp:rsid wsp:val=&quot;004A0467&quot;/&gt;&lt;wsp:rsid wsp:val=&quot;004A1533&quot;/&gt;&lt;wsp:rsid wsp:val=&quot;004A215D&quot;/&gt;&lt;wsp:rsid wsp:val=&quot;004A2218&quot;/&gt;&lt;wsp:rsid wsp:val=&quot;004A2A8B&quot;/&gt;&lt;wsp:rsid wsp:val=&quot;004A3C0A&quot;/&gt;&lt;wsp:rsid wsp:val=&quot;004A55E3&quot;/&gt;&lt;wsp:rsid wsp:val=&quot;004B0981&quot;/&gt;&lt;wsp:rsid wsp:val=&quot;004B0A15&quot;/&gt;&lt;wsp:rsid wsp:val=&quot;004B4720&quot;/&gt;&lt;wsp:rsid wsp:val=&quot;004B49CD&quot;/&gt;&lt;wsp:rsid wsp:val=&quot;004B64B8&quot;/&gt;&lt;wsp:rsid wsp:val=&quot;004B722F&quot;/&gt;&lt;wsp:rsid wsp:val=&quot;004B7B48&quot;/&gt;&lt;wsp:rsid wsp:val=&quot;004C09FB&quot;/&gt;&lt;wsp:rsid wsp:val=&quot;004C10AE&quot;/&gt;&lt;wsp:rsid wsp:val=&quot;004C19ED&quot;/&gt;&lt;wsp:rsid wsp:val=&quot;004C2707&quot;/&gt;&lt;wsp:rsid wsp:val=&quot;004C2769&quot;/&gt;&lt;wsp:rsid wsp:val=&quot;004C30E3&quot;/&gt;&lt;wsp:rsid wsp:val=&quot;004C359C&quot;/&gt;&lt;wsp:rsid wsp:val=&quot;004C3F88&quot;/&gt;&lt;wsp:rsid wsp:val=&quot;004C6D76&quot;/&gt;&lt;wsp:rsid wsp:val=&quot;004C7BCB&quot;/&gt;&lt;wsp:rsid wsp:val=&quot;004D12A5&quot;/&gt;&lt;wsp:rsid wsp:val=&quot;004D13FB&quot;/&gt;&lt;wsp:rsid wsp:val=&quot;004D4C1D&quot;/&gt;&lt;wsp:rsid wsp:val=&quot;004D5332&quot;/&gt;&lt;wsp:rsid wsp:val=&quot;004D7220&quot;/&gt;&lt;wsp:rsid wsp:val=&quot;004D7923&quot;/&gt;&lt;wsp:rsid wsp:val=&quot;004E04EF&quot;/&gt;&lt;wsp:rsid wsp:val=&quot;004E084D&quot;/&gt;&lt;wsp:rsid wsp:val=&quot;004E0F38&quot;/&gt;&lt;wsp:rsid wsp:val=&quot;004E0F6E&quot;/&gt;&lt;wsp:rsid wsp:val=&quot;004E1B61&quot;/&gt;&lt;wsp:rsid wsp:val=&quot;004E323C&quot;/&gt;&lt;wsp:rsid wsp:val=&quot;004E4309&quot;/&gt;&lt;wsp:rsid wsp:val=&quot;004E56FD&quot;/&gt;&lt;wsp:rsid wsp:val=&quot;004F002E&quot;/&gt;&lt;wsp:rsid wsp:val=&quot;004F1336&quot;/&gt;&lt;wsp:rsid wsp:val=&quot;004F30F1&quot;/&gt;&lt;wsp:rsid wsp:val=&quot;004F3570&quot;/&gt;&lt;wsp:rsid wsp:val=&quot;004F68F2&quot;/&gt;&lt;wsp:rsid wsp:val=&quot;004F7C97&quot;/&gt;&lt;wsp:rsid wsp:val=&quot;00500E64&quot;/&gt;&lt;wsp:rsid wsp:val=&quot;00501335&quot;/&gt;&lt;wsp:rsid wsp:val=&quot;00501374&quot;/&gt;&lt;wsp:rsid wsp:val=&quot;0050232F&quot;/&gt;&lt;wsp:rsid wsp:val=&quot;00504CA6&quot;/&gt;&lt;wsp:rsid wsp:val=&quot;0050739A&quot;/&gt;&lt;wsp:rsid wsp:val=&quot;0051223F&quot;/&gt;&lt;wsp:rsid wsp:val=&quot;005136E6&quot;/&gt;&lt;wsp:rsid wsp:val=&quot;00513E3C&quot;/&gt;&lt;wsp:rsid wsp:val=&quot;00520C1B&quot;/&gt;&lt;wsp:rsid wsp:val=&quot;00520D65&quot;/&gt;&lt;wsp:rsid wsp:val=&quot;00520D66&quot;/&gt;&lt;wsp:rsid wsp:val=&quot;0052137F&quot;/&gt;&lt;wsp:rsid wsp:val=&quot;0052159B&quot;/&gt;&lt;wsp:rsid wsp:val=&quot;00522273&quot;/&gt;&lt;wsp:rsid wsp:val=&quot;0052258C&quot;/&gt;&lt;wsp:rsid wsp:val=&quot;0052294A&quot;/&gt;&lt;wsp:rsid wsp:val=&quot;0052319C&quot;/&gt;&lt;wsp:rsid wsp:val=&quot;00524D17&quot;/&gt;&lt;wsp:rsid wsp:val=&quot;00525A13&quot;/&gt;&lt;wsp:rsid wsp:val=&quot;00525F1D&quot;/&gt;&lt;wsp:rsid wsp:val=&quot;00526F6C&quot;/&gt;&lt;wsp:rsid wsp:val=&quot;0052742B&quot;/&gt;&lt;wsp:rsid wsp:val=&quot;00530A36&quot;/&gt;&lt;wsp:rsid wsp:val=&quot;00531DE8&quot;/&gt;&lt;wsp:rsid wsp:val=&quot;00532B8B&quot;/&gt;&lt;wsp:rsid wsp:val=&quot;00534732&quot;/&gt;&lt;wsp:rsid wsp:val=&quot;0053486B&quot;/&gt;&lt;wsp:rsid wsp:val=&quot;0053526E&quot;/&gt;&lt;wsp:rsid wsp:val=&quot;00541A2C&quot;/&gt;&lt;wsp:rsid wsp:val=&quot;00546364&quot;/&gt;&lt;wsp:rsid wsp:val=&quot;00547548&quot;/&gt;&lt;wsp:rsid wsp:val=&quot;00547A82&quot;/&gt;&lt;wsp:rsid wsp:val=&quot;00547D11&quot;/&gt;&lt;wsp:rsid wsp:val=&quot;00550DEB&quot;/&gt;&lt;wsp:rsid wsp:val=&quot;00552326&quot;/&gt;&lt;wsp:rsid wsp:val=&quot;00552B38&quot;/&gt;&lt;wsp:rsid wsp:val=&quot;00553D30&quot;/&gt;&lt;wsp:rsid wsp:val=&quot;00554ABA&quot;/&gt;&lt;wsp:rsid wsp:val=&quot;00555D8E&quot;/&gt;&lt;wsp:rsid wsp:val=&quot;005604B3&quot;/&gt;&lt;wsp:rsid wsp:val=&quot;00560E96&quot;/&gt;&lt;wsp:rsid wsp:val=&quot;0056190D&quot;/&gt;&lt;wsp:rsid wsp:val=&quot;00562470&quot;/&gt;&lt;wsp:rsid wsp:val=&quot;0056442A&quot;/&gt;&lt;wsp:rsid wsp:val=&quot;00564478&quot;/&gt;&lt;wsp:rsid wsp:val=&quot;00564B67&quot;/&gt;&lt;wsp:rsid wsp:val=&quot;00565093&quot;/&gt;&lt;wsp:rsid wsp:val=&quot;00566DFE&quot;/&gt;&lt;wsp:rsid wsp:val=&quot;00574E6C&quot;/&gt;&lt;wsp:rsid wsp:val=&quot;00576550&quot;/&gt;&lt;wsp:rsid wsp:val=&quot;00577A2D&quot;/&gt;&lt;wsp:rsid wsp:val=&quot;00580405&quot;/&gt;&lt;wsp:rsid wsp:val=&quot;00580F09&quot;/&gt;&lt;wsp:rsid wsp:val=&quot;00581CA0&quot;/&gt;&lt;wsp:rsid wsp:val=&quot;00582B02&quot;/&gt;&lt;wsp:rsid wsp:val=&quot;005839A9&quot;/&gt;&lt;wsp:rsid wsp:val=&quot;005845B5&quot;/&gt;&lt;wsp:rsid wsp:val=&quot;005855D5&quot;/&gt;&lt;wsp:rsid wsp:val=&quot;00585B88&quot;/&gt;&lt;wsp:rsid wsp:val=&quot;00585BB0&quot;/&gt;&lt;wsp:rsid wsp:val=&quot;00586754&quot;/&gt;&lt;wsp:rsid wsp:val=&quot;0058708B&quot;/&gt;&lt;wsp:rsid wsp:val=&quot;00587616&quot;/&gt;&lt;wsp:rsid wsp:val=&quot;005906A2&quot;/&gt;&lt;wsp:rsid wsp:val=&quot;00590770&quot;/&gt;&lt;wsp:rsid wsp:val=&quot;00592608&quot;/&gt;&lt;wsp:rsid wsp:val=&quot;00592E49&quot;/&gt;&lt;wsp:rsid wsp:val=&quot;00596E7F&quot;/&gt;&lt;wsp:rsid wsp:val=&quot;005973B3&quot;/&gt;&lt;wsp:rsid wsp:val=&quot;005977E6&quot;/&gt;&lt;wsp:rsid wsp:val=&quot;005A0B95&quot;/&gt;&lt;wsp:rsid wsp:val=&quot;005A0C91&quot;/&gt;&lt;wsp:rsid wsp:val=&quot;005A17FC&quot;/&gt;&lt;wsp:rsid wsp:val=&quot;005A4444&quot;/&gt;&lt;wsp:rsid wsp:val=&quot;005A5FC0&quot;/&gt;&lt;wsp:rsid wsp:val=&quot;005A64D1&quot;/&gt;&lt;wsp:rsid wsp:val=&quot;005B052D&quot;/&gt;&lt;wsp:rsid wsp:val=&quot;005B0DE9&quot;/&gt;&lt;wsp:rsid wsp:val=&quot;005B1EEE&quot;/&gt;&lt;wsp:rsid wsp:val=&quot;005B4154&quot;/&gt;&lt;wsp:rsid wsp:val=&quot;005B421A&quot;/&gt;&lt;wsp:rsid wsp:val=&quot;005B53EC&quot;/&gt;&lt;wsp:rsid wsp:val=&quot;005B6B4D&quot;/&gt;&lt;wsp:rsid wsp:val=&quot;005C0DDE&quot;/&gt;&lt;wsp:rsid wsp:val=&quot;005C357C&quot;/&gt;&lt;wsp:rsid wsp:val=&quot;005C4ADA&quot;/&gt;&lt;wsp:rsid wsp:val=&quot;005D0754&quot;/&gt;&lt;wsp:rsid wsp:val=&quot;005D145A&quot;/&gt;&lt;wsp:rsid wsp:val=&quot;005D20F5&quot;/&gt;&lt;wsp:rsid wsp:val=&quot;005D2A78&quot;/&gt;&lt;wsp:rsid wsp:val=&quot;005E0699&quot;/&gt;&lt;wsp:rsid wsp:val=&quot;005E1B07&quot;/&gt;&lt;wsp:rsid wsp:val=&quot;005E2A95&quot;/&gt;&lt;wsp:rsid wsp:val=&quot;005E2E14&quot;/&gt;&lt;wsp:rsid wsp:val=&quot;005E5CF3&quot;/&gt;&lt;wsp:rsid wsp:val=&quot;005E638B&quot;/&gt;&lt;wsp:rsid wsp:val=&quot;005F0079&quot;/&gt;&lt;wsp:rsid wsp:val=&quot;005F08FB&quot;/&gt;&lt;wsp:rsid wsp:val=&quot;005F1732&quot;/&gt;&lt;wsp:rsid wsp:val=&quot;005F2E05&quot;/&gt;&lt;wsp:rsid wsp:val=&quot;005F5D45&quot;/&gt;&lt;wsp:rsid wsp:val=&quot;005F620B&quot;/&gt;&lt;wsp:rsid wsp:val=&quot;005F685E&quot;/&gt;&lt;wsp:rsid wsp:val=&quot;005F7FA1&quot;/&gt;&lt;wsp:rsid wsp:val=&quot;0060026C&quot;/&gt;&lt;wsp:rsid wsp:val=&quot;006035C2&quot;/&gt;&lt;wsp:rsid wsp:val=&quot;0060401A&quot;/&gt;&lt;wsp:rsid wsp:val=&quot;006042F5&quot;/&gt;&lt;wsp:rsid wsp:val=&quot;006062F7&quot;/&gt;&lt;wsp:rsid wsp:val=&quot;00606A11&quot;/&gt;&lt;wsp:rsid wsp:val=&quot;006074E7&quot;/&gt;&lt;wsp:rsid wsp:val=&quot;0061119B&quot;/&gt;&lt;wsp:rsid wsp:val=&quot;006127F1&quot;/&gt;&lt;wsp:rsid wsp:val=&quot;0061493E&quot;/&gt;&lt;wsp:rsid wsp:val=&quot;00614FFE&quot;/&gt;&lt;wsp:rsid wsp:val=&quot;00617530&quot;/&gt;&lt;wsp:rsid wsp:val=&quot;006178DC&quot;/&gt;&lt;wsp:rsid wsp:val=&quot;00617E4F&quot;/&gt;&lt;wsp:rsid wsp:val=&quot;00620834&quot;/&gt;&lt;wsp:rsid wsp:val=&quot;00622303&quot;/&gt;&lt;wsp:rsid wsp:val=&quot;006229F9&quot;/&gt;&lt;wsp:rsid wsp:val=&quot;00623809&quot;/&gt;&lt;wsp:rsid wsp:val=&quot;00625F88&quot;/&gt;&lt;wsp:rsid wsp:val=&quot;0062715B&quot;/&gt;&lt;wsp:rsid wsp:val=&quot;0063119D&quot;/&gt;&lt;wsp:rsid wsp:val=&quot;00633812&quot;/&gt;&lt;wsp:rsid wsp:val=&quot;00634578&quot;/&gt;&lt;wsp:rsid wsp:val=&quot;00636E41&quot;/&gt;&lt;wsp:rsid wsp:val=&quot;00636F23&quot;/&gt;&lt;wsp:rsid wsp:val=&quot;00640066&quot;/&gt;&lt;wsp:rsid wsp:val=&quot;00654AD3&quot;/&gt;&lt;wsp:rsid wsp:val=&quot;00655341&quot;/&gt;&lt;wsp:rsid wsp:val=&quot;00655659&quot;/&gt;&lt;wsp:rsid wsp:val=&quot;00656F74&quot;/&gt;&lt;wsp:rsid wsp:val=&quot;006612BE&quot;/&gt;&lt;wsp:rsid wsp:val=&quot;006613C3&quot;/&gt;&lt;wsp:rsid wsp:val=&quot;00665002&quot;/&gt;&lt;wsp:rsid wsp:val=&quot;006662E3&quot;/&gt;&lt;wsp:rsid wsp:val=&quot;006665C0&quot;/&gt;&lt;wsp:rsid wsp:val=&quot;00670894&quot;/&gt;&lt;wsp:rsid wsp:val=&quot;00670F80&quot;/&gt;&lt;wsp:rsid wsp:val=&quot;00671663&quot;/&gt;&lt;wsp:rsid wsp:val=&quot;0067274F&quot;/&gt;&lt;wsp:rsid wsp:val=&quot;0067277D&quot;/&gt;&lt;wsp:rsid wsp:val=&quot;006728A5&quot;/&gt;&lt;wsp:rsid wsp:val=&quot;00673931&quot;/&gt;&lt;wsp:rsid wsp:val=&quot;006744AB&quot;/&gt;&lt;wsp:rsid wsp:val=&quot;00675398&quot;/&gt;&lt;wsp:rsid wsp:val=&quot;00676F3C&quot;/&gt;&lt;wsp:rsid wsp:val=&quot;0068020D&quot;/&gt;&lt;wsp:rsid wsp:val=&quot;006810D7&quot;/&gt;&lt;wsp:rsid wsp:val=&quot;006846D3&quot;/&gt;&lt;wsp:rsid wsp:val=&quot;00684B48&quot;/&gt;&lt;wsp:rsid wsp:val=&quot;006879A1&quot;/&gt;&lt;wsp:rsid wsp:val=&quot;006879C9&quot;/&gt;&lt;wsp:rsid wsp:val=&quot;00690745&quot;/&gt;&lt;wsp:rsid wsp:val=&quot;00692787&quot;/&gt;&lt;wsp:rsid wsp:val=&quot;006932B6&quot;/&gt;&lt;wsp:rsid wsp:val=&quot;00694213&quot;/&gt;&lt;wsp:rsid wsp:val=&quot;00695E05&quot;/&gt;&lt;wsp:rsid wsp:val=&quot;006A0899&quot;/&gt;&lt;wsp:rsid wsp:val=&quot;006A12F4&quot;/&gt;&lt;wsp:rsid wsp:val=&quot;006A1910&quot;/&gt;&lt;wsp:rsid wsp:val=&quot;006A1952&quot;/&gt;&lt;wsp:rsid wsp:val=&quot;006A25C2&quot;/&gt;&lt;wsp:rsid wsp:val=&quot;006A2FFB&quot;/&gt;&lt;wsp:rsid wsp:val=&quot;006A3D05&quot;/&gt;&lt;wsp:rsid wsp:val=&quot;006A47F4&quot;/&gt;&lt;wsp:rsid wsp:val=&quot;006A5554&quot;/&gt;&lt;wsp:rsid wsp:val=&quot;006A7B69&quot;/&gt;&lt;wsp:rsid wsp:val=&quot;006B052B&quot;/&gt;&lt;wsp:rsid wsp:val=&quot;006B1147&quot;/&gt;&lt;wsp:rsid wsp:val=&quot;006B1E0F&quot;/&gt;&lt;wsp:rsid wsp:val=&quot;006B487F&quot;/&gt;&lt;wsp:rsid wsp:val=&quot;006B5231&quot;/&gt;&lt;wsp:rsid wsp:val=&quot;006B590D&quot;/&gt;&lt;wsp:rsid wsp:val=&quot;006C42CD&quot;/&gt;&lt;wsp:rsid wsp:val=&quot;006C4C69&quot;/&gt;&lt;wsp:rsid wsp:val=&quot;006C5DAC&quot;/&gt;&lt;wsp:rsid wsp:val=&quot;006C724B&quot;/&gt;&lt;wsp:rsid wsp:val=&quot;006C782F&quot;/&gt;&lt;wsp:rsid wsp:val=&quot;006C7AFD&quot;/&gt;&lt;wsp:rsid wsp:val=&quot;006D040E&quot;/&gt;&lt;wsp:rsid wsp:val=&quot;006D2099&quot;/&gt;&lt;wsp:rsid wsp:val=&quot;006D3358&quot;/&gt;&lt;wsp:rsid wsp:val=&quot;006D4C96&quot;/&gt;&lt;wsp:rsid wsp:val=&quot;006D548C&quot;/&gt;&lt;wsp:rsid wsp:val=&quot;006D7509&quot;/&gt;&lt;wsp:rsid wsp:val=&quot;006D793D&quot;/&gt;&lt;wsp:rsid wsp:val=&quot;006E2188&quot;/&gt;&lt;wsp:rsid wsp:val=&quot;006E404B&quot;/&gt;&lt;wsp:rsid wsp:val=&quot;006E6E6A&quot;/&gt;&lt;wsp:rsid wsp:val=&quot;006F0C80&quot;/&gt;&lt;wsp:rsid wsp:val=&quot;006F4A1B&quot;/&gt;&lt;wsp:rsid wsp:val=&quot;00700A51&quot;/&gt;&lt;wsp:rsid wsp:val=&quot;00700C04&quot;/&gt;&lt;wsp:rsid wsp:val=&quot;007016E6&quot;/&gt;&lt;wsp:rsid wsp:val=&quot;00701CAC&quot;/&gt;&lt;wsp:rsid wsp:val=&quot;00701D31&quot;/&gt;&lt;wsp:rsid wsp:val=&quot;0070473F&quot;/&gt;&lt;wsp:rsid wsp:val=&quot;00711D1D&quot;/&gt;&lt;wsp:rsid wsp:val=&quot;007148C0&quot;/&gt;&lt;wsp:rsid wsp:val=&quot;007152A3&quot;/&gt;&lt;wsp:rsid wsp:val=&quot;00716EBC&quot;/&gt;&lt;wsp:rsid wsp:val=&quot;007177CF&quot;/&gt;&lt;wsp:rsid wsp:val=&quot;0072452D&quot;/&gt;&lt;wsp:rsid wsp:val=&quot;00727641&quot;/&gt;&lt;wsp:rsid wsp:val=&quot;00727702&quot;/&gt;&lt;wsp:rsid wsp:val=&quot;00730AA8&quot;/&gt;&lt;wsp:rsid wsp:val=&quot;007315AD&quot;/&gt;&lt;wsp:rsid wsp:val=&quot;00732DD2&quot;/&gt;&lt;wsp:rsid wsp:val=&quot;00733FDA&quot;/&gt;&lt;wsp:rsid wsp:val=&quot;00734446&quot;/&gt;&lt;wsp:rsid wsp:val=&quot;007361BC&quot;/&gt;&lt;wsp:rsid wsp:val=&quot;00740DDA&quot;/&gt;&lt;wsp:rsid wsp:val=&quot;00743B6D&quot;/&gt;&lt;wsp:rsid wsp:val=&quot;00743E1A&quot;/&gt;&lt;wsp:rsid wsp:val=&quot;00746C8F&quot;/&gt;&lt;wsp:rsid wsp:val=&quot;0074705E&quot;/&gt;&lt;wsp:rsid wsp:val=&quot;00747062&quot;/&gt;&lt;wsp:rsid wsp:val=&quot;00750781&quot;/&gt;&lt;wsp:rsid wsp:val=&quot;00751CCB&quot;/&gt;&lt;wsp:rsid wsp:val=&quot;007521D7&quot;/&gt;&lt;wsp:rsid wsp:val=&quot;00753057&quot;/&gt;&lt;wsp:rsid wsp:val=&quot;00753409&quot;/&gt;&lt;wsp:rsid wsp:val=&quot;00754240&quot;/&gt;&lt;wsp:rsid wsp:val=&quot;007548F9&quot;/&gt;&lt;wsp:rsid wsp:val=&quot;00755ACA&quot;/&gt;&lt;wsp:rsid wsp:val=&quot;00760A5E&quot;/&gt;&lt;wsp:rsid wsp:val=&quot;00761D75&quot;/&gt;&lt;wsp:rsid wsp:val=&quot;00762104&quot;/&gt;&lt;wsp:rsid wsp:val=&quot;00762FF6&quot;/&gt;&lt;wsp:rsid wsp:val=&quot;0076496E&quot;/&gt;&lt;wsp:rsid wsp:val=&quot;00764C6B&quot;/&gt;&lt;wsp:rsid wsp:val=&quot;007724B8&quot;/&gt;&lt;wsp:rsid wsp:val=&quot;0077267D&quot;/&gt;&lt;wsp:rsid wsp:val=&quot;007740C9&quot;/&gt;&lt;wsp:rsid wsp:val=&quot;00775A0D&quot;/&gt;&lt;wsp:rsid wsp:val=&quot;00776353&quot;/&gt;&lt;wsp:rsid wsp:val=&quot;00776D8B&quot;/&gt;&lt;wsp:rsid wsp:val=&quot;00776F9D&quot;/&gt;&lt;wsp:rsid wsp:val=&quot;00777453&quot;/&gt;&lt;wsp:rsid wsp:val=&quot;00777D84&quot;/&gt;&lt;wsp:rsid wsp:val=&quot;00780126&quot;/&gt;&lt;wsp:rsid wsp:val=&quot;00780B35&quot;/&gt;&lt;wsp:rsid wsp:val=&quot;0078215A&quot;/&gt;&lt;wsp:rsid wsp:val=&quot;00782D0D&quot;/&gt;&lt;wsp:rsid wsp:val=&quot;0078392F&quot;/&gt;&lt;wsp:rsid wsp:val=&quot;00783D7E&quot;/&gt;&lt;wsp:rsid wsp:val=&quot;00783E19&quot;/&gt;&lt;wsp:rsid wsp:val=&quot;00786C92&quot;/&gt;&lt;wsp:rsid wsp:val=&quot;00787213&quot;/&gt;&lt;wsp:rsid wsp:val=&quot;0079010A&quot;/&gt;&lt;wsp:rsid wsp:val=&quot;00791917&quot;/&gt;&lt;wsp:rsid wsp:val=&quot;00791A23&quot;/&gt;&lt;wsp:rsid wsp:val=&quot;00791DF8&quot;/&gt;&lt;wsp:rsid wsp:val=&quot;00792009&quot;/&gt;&lt;wsp:rsid wsp:val=&quot;0079354A&quot;/&gt;&lt;wsp:rsid wsp:val=&quot;00794CD6&quot;/&gt;&lt;wsp:rsid wsp:val=&quot;007954E3&quot;/&gt;&lt;wsp:rsid wsp:val=&quot;00795DEA&quot;/&gt;&lt;wsp:rsid wsp:val=&quot;00795DF6&quot;/&gt;&lt;wsp:rsid wsp:val=&quot;00795E19&quot;/&gt;&lt;wsp:rsid wsp:val=&quot;00796CEE&quot;/&gt;&lt;wsp:rsid wsp:val=&quot;007974EE&quot;/&gt;&lt;wsp:rsid wsp:val=&quot;007976FC&quot;/&gt;&lt;wsp:rsid wsp:val=&quot;007A1375&quot;/&gt;&lt;wsp:rsid wsp:val=&quot;007A1BE5&quot;/&gt;&lt;wsp:rsid wsp:val=&quot;007A35DD&quot;/&gt;&lt;wsp:rsid wsp:val=&quot;007A3A85&quot;/&gt;&lt;wsp:rsid wsp:val=&quot;007A4152&quot;/&gt;&lt;wsp:rsid wsp:val=&quot;007A5045&quot;/&gt;&lt;wsp:rsid wsp:val=&quot;007A6717&quot;/&gt;&lt;wsp:rsid wsp:val=&quot;007A7706&quot;/&gt;&lt;wsp:rsid wsp:val=&quot;007B0AC2&quot;/&gt;&lt;wsp:rsid wsp:val=&quot;007B10A9&quot;/&gt;&lt;wsp:rsid wsp:val=&quot;007B3019&quot;/&gt;&lt;wsp:rsid wsp:val=&quot;007B35B8&quot;/&gt;&lt;wsp:rsid wsp:val=&quot;007B37EB&quot;/&gt;&lt;wsp:rsid wsp:val=&quot;007B3932&quot;/&gt;&lt;wsp:rsid wsp:val=&quot;007B3D4A&quot;/&gt;&lt;wsp:rsid wsp:val=&quot;007B3E44&quot;/&gt;&lt;wsp:rsid wsp:val=&quot;007B524D&quot;/&gt;&lt;wsp:rsid wsp:val=&quot;007B7465&quot;/&gt;&lt;wsp:rsid wsp:val=&quot;007C4FBD&quot;/&gt;&lt;wsp:rsid wsp:val=&quot;007C547E&quot;/&gt;&lt;wsp:rsid wsp:val=&quot;007D259D&quot;/&gt;&lt;wsp:rsid wsp:val=&quot;007D2DD1&quot;/&gt;&lt;wsp:rsid wsp:val=&quot;007D3D91&quot;/&gt;&lt;wsp:rsid wsp:val=&quot;007D44EC&quot;/&gt;&lt;wsp:rsid wsp:val=&quot;007D6223&quot;/&gt;&lt;wsp:rsid wsp:val=&quot;007E20A5&quot;/&gt;&lt;wsp:rsid wsp:val=&quot;007E2EEA&quot;/&gt;&lt;wsp:rsid wsp:val=&quot;007E4C4F&quot;/&gt;&lt;wsp:rsid wsp:val=&quot;007E5694&quot;/&gt;&lt;wsp:rsid wsp:val=&quot;007E6979&quot;/&gt;&lt;wsp:rsid wsp:val=&quot;007E7327&quot;/&gt;&lt;wsp:rsid wsp:val=&quot;007F0027&quot;/&gt;&lt;wsp:rsid wsp:val=&quot;007F0239&quot;/&gt;&lt;wsp:rsid wsp:val=&quot;007F0CD6&quot;/&gt;&lt;wsp:rsid wsp:val=&quot;007F0E4E&quot;/&gt;&lt;wsp:rsid wsp:val=&quot;007F1EA4&quot;/&gt;&lt;wsp:rsid wsp:val=&quot;007F29C1&quot;/&gt;&lt;wsp:rsid wsp:val=&quot;007F5333&quot;/&gt;&lt;wsp:rsid wsp:val=&quot;007F6278&quot;/&gt;&lt;wsp:rsid wsp:val=&quot;007F6406&quot;/&gt;&lt;wsp:rsid wsp:val=&quot;008007BE&quot;/&gt;&lt;wsp:rsid wsp:val=&quot;00800A95&quot;/&gt;&lt;wsp:rsid wsp:val=&quot;008012F8&quot;/&gt;&lt;wsp:rsid wsp:val=&quot;0080226C&quot;/&gt;&lt;wsp:rsid wsp:val=&quot;00802413&quot;/&gt;&lt;wsp:rsid wsp:val=&quot;0080338A&quot;/&gt;&lt;wsp:rsid wsp:val=&quot;00803C2A&quot;/&gt;&lt;wsp:rsid wsp:val=&quot;00803C74&quot;/&gt;&lt;wsp:rsid wsp:val=&quot;00803F95&quot;/&gt;&lt;wsp:rsid wsp:val=&quot;0080516B&quot;/&gt;&lt;wsp:rsid wsp:val=&quot;0080521D&quot;/&gt;&lt;wsp:rsid wsp:val=&quot;008059F8&quot;/&gt;&lt;wsp:rsid wsp:val=&quot;00806C82&quot;/&gt;&lt;wsp:rsid wsp:val=&quot;008070C1&quot;/&gt;&lt;wsp:rsid wsp:val=&quot;008071BF&quot;/&gt;&lt;wsp:rsid wsp:val=&quot;00810A57&quot;/&gt;&lt;wsp:rsid wsp:val=&quot;00811890&quot;/&gt;&lt;wsp:rsid wsp:val=&quot;00813B67&quot;/&gt;&lt;wsp:rsid wsp:val=&quot;00817E47&quot;/&gt;&lt;wsp:rsid wsp:val=&quot;00821521&quot;/&gt;&lt;wsp:rsid wsp:val=&quot;00821EAA&quot;/&gt;&lt;wsp:rsid wsp:val=&quot;0082252D&quot;/&gt;&lt;wsp:rsid wsp:val=&quot;00822B56&quot;/&gt;&lt;wsp:rsid wsp:val=&quot;00824534&quot;/&gt;&lt;wsp:rsid wsp:val=&quot;00825078&quot;/&gt;&lt;wsp:rsid wsp:val=&quot;0083293D&quot;/&gt;&lt;wsp:rsid wsp:val=&quot;008338F3&quot;/&gt;&lt;wsp:rsid wsp:val=&quot;00833E1E&quot;/&gt;&lt;wsp:rsid wsp:val=&quot;0083501F&quot;/&gt;&lt;wsp:rsid wsp:val=&quot;00835EA4&quot;/&gt;&lt;wsp:rsid wsp:val=&quot;0083632B&quot;/&gt;&lt;wsp:rsid wsp:val=&quot;00836631&quot;/&gt;&lt;wsp:rsid wsp:val=&quot;0084225B&quot;/&gt;&lt;wsp:rsid wsp:val=&quot;008429DA&quot;/&gt;&lt;wsp:rsid wsp:val=&quot;00842A1A&quot;/&gt;&lt;wsp:rsid wsp:val=&quot;008447BD&quot;/&gt;&lt;wsp:rsid wsp:val=&quot;00847060&quot;/&gt;&lt;wsp:rsid wsp:val=&quot;0084799F&quot;/&gt;&lt;wsp:rsid wsp:val=&quot;008516E6&quot;/&gt;&lt;wsp:rsid wsp:val=&quot;00851C34&quot;/&gt;&lt;wsp:rsid wsp:val=&quot;008533C3&quot;/&gt;&lt;wsp:rsid wsp:val=&quot;00853A55&quot;/&gt;&lt;wsp:rsid wsp:val=&quot;0085549E&quot;/&gt;&lt;wsp:rsid wsp:val=&quot;008560A0&quot;/&gt;&lt;wsp:rsid wsp:val=&quot;00857F22&quot;/&gt;&lt;wsp:rsid wsp:val=&quot;00860082&quot;/&gt;&lt;wsp:rsid wsp:val=&quot;00860B3C&quot;/&gt;&lt;wsp:rsid wsp:val=&quot;00862621&quot;/&gt;&lt;wsp:rsid wsp:val=&quot;00863EAA&quot;/&gt;&lt;wsp:rsid wsp:val=&quot;008653B7&quot;/&gt;&lt;wsp:rsid wsp:val=&quot;008657CE&quot;/&gt;&lt;wsp:rsid wsp:val=&quot;00865A71&quot;/&gt;&lt;wsp:rsid wsp:val=&quot;00870208&quot;/&gt;&lt;wsp:rsid wsp:val=&quot;00873DAE&quot;/&gt;&lt;wsp:rsid wsp:val=&quot;00874899&quot;/&gt;&lt;wsp:rsid wsp:val=&quot;008751F1&quot;/&gt;&lt;wsp:rsid wsp:val=&quot;008756D4&quot;/&gt;&lt;wsp:rsid wsp:val=&quot;00875E17&quot;/&gt;&lt;wsp:rsid wsp:val=&quot;008761EA&quot;/&gt;&lt;wsp:rsid wsp:val=&quot;00877014&quot;/&gt;&lt;wsp:rsid wsp:val=&quot;00877709&quot;/&gt;&lt;wsp:rsid wsp:val=&quot;008801FD&quot;/&gt;&lt;wsp:rsid wsp:val=&quot;00882C38&quot;/&gt;&lt;wsp:rsid wsp:val=&quot;008837FB&quot;/&gt;&lt;wsp:rsid wsp:val=&quot;00884070&quot;/&gt;&lt;wsp:rsid wsp:val=&quot;00886F7C&quot;/&gt;&lt;wsp:rsid wsp:val=&quot;008875E2&quot;/&gt;&lt;wsp:rsid wsp:val=&quot;008876FB&quot;/&gt;&lt;wsp:rsid wsp:val=&quot;00890740&quot;/&gt;&lt;wsp:rsid wsp:val=&quot;00891567&quot;/&gt;&lt;wsp:rsid wsp:val=&quot;008923BE&quot;/&gt;&lt;wsp:rsid wsp:val=&quot;008930D9&quot;/&gt;&lt;wsp:rsid wsp:val=&quot;00893EBB&quot;/&gt;&lt;wsp:rsid wsp:val=&quot;00896F76&quot;/&gt;&lt;wsp:rsid wsp:val=&quot;00897F80&quot;/&gt;&lt;wsp:rsid wsp:val=&quot;008A0CA5&quot;/&gt;&lt;wsp:rsid wsp:val=&quot;008A12FE&quot;/&gt;&lt;wsp:rsid wsp:val=&quot;008A1BEE&quot;/&gt;&lt;wsp:rsid wsp:val=&quot;008A4816&quot;/&gt;&lt;wsp:rsid wsp:val=&quot;008A4AE4&quot;/&gt;&lt;wsp:rsid wsp:val=&quot;008A688A&quot;/&gt;&lt;wsp:rsid wsp:val=&quot;008A7912&quot;/&gt;&lt;wsp:rsid wsp:val=&quot;008A7C79&quot;/&gt;&lt;wsp:rsid wsp:val=&quot;008A7EB5&quot;/&gt;&lt;wsp:rsid wsp:val=&quot;008B1993&quot;/&gt;&lt;wsp:rsid wsp:val=&quot;008B3149&quot;/&gt;&lt;wsp:rsid wsp:val=&quot;008B4D4E&quot;/&gt;&lt;wsp:rsid wsp:val=&quot;008B7EC3&quot;/&gt;&lt;wsp:rsid wsp:val=&quot;008C0E73&quot;/&gt;&lt;wsp:rsid wsp:val=&quot;008C2DD9&quot;/&gt;&lt;wsp:rsid wsp:val=&quot;008C37ED&quot;/&gt;&lt;wsp:rsid wsp:val=&quot;008C3886&quot;/&gt;&lt;wsp:rsid wsp:val=&quot;008C457C&quot;/&gt;&lt;wsp:rsid wsp:val=&quot;008C4F84&quot;/&gt;&lt;wsp:rsid wsp:val=&quot;008C4FEA&quot;/&gt;&lt;wsp:rsid wsp:val=&quot;008C5A8C&quot;/&gt;&lt;wsp:rsid wsp:val=&quot;008C6DC3&quot;/&gt;&lt;wsp:rsid wsp:val=&quot;008D0021&quot;/&gt;&lt;wsp:rsid wsp:val=&quot;008D1481&quot;/&gt;&lt;wsp:rsid wsp:val=&quot;008D2F4C&quot;/&gt;&lt;wsp:rsid wsp:val=&quot;008D3C12&quot;/&gt;&lt;wsp:rsid wsp:val=&quot;008D41AF&quot;/&gt;&lt;wsp:rsid wsp:val=&quot;008D5202&quot;/&gt;&lt;wsp:rsid wsp:val=&quot;008D5B5E&quot;/&gt;&lt;wsp:rsid wsp:val=&quot;008D5C4D&quot;/&gt;&lt;wsp:rsid wsp:val=&quot;008D66C2&quot;/&gt;&lt;wsp:rsid wsp:val=&quot;008E229D&quot;/&gt;&lt;wsp:rsid wsp:val=&quot;008E2F38&quot;/&gt;&lt;wsp:rsid wsp:val=&quot;008E3152&quot;/&gt;&lt;wsp:rsid wsp:val=&quot;008E3175&quot;/&gt;&lt;wsp:rsid wsp:val=&quot;008E4C1B&quot;/&gt;&lt;wsp:rsid wsp:val=&quot;008E635D&quot;/&gt;&lt;wsp:rsid wsp:val=&quot;008E73A7&quot;/&gt;&lt;wsp:rsid wsp:val=&quot;008E7EEE&quot;/&gt;&lt;wsp:rsid wsp:val=&quot;008F21D2&quot;/&gt;&lt;wsp:rsid wsp:val=&quot;008F29E4&quot;/&gt;&lt;wsp:rsid wsp:val=&quot;008F3A90&quot;/&gt;&lt;wsp:rsid wsp:val=&quot;008F4F7E&quot;/&gt;&lt;wsp:rsid wsp:val=&quot;008F5936&quot;/&gt;&lt;wsp:rsid wsp:val=&quot;008F6F37&quot;/&gt;&lt;wsp:rsid wsp:val=&quot;00900572&quot;/&gt;&lt;wsp:rsid wsp:val=&quot;00900BB3&quot;/&gt;&lt;wsp:rsid wsp:val=&quot;0090252F&quot;/&gt;&lt;wsp:rsid wsp:val=&quot;0090310A&quot;/&gt;&lt;wsp:rsid wsp:val=&quot;0090360C&quot;/&gt;&lt;wsp:rsid wsp:val=&quot;00903D17&quot;/&gt;&lt;wsp:rsid wsp:val=&quot;00905ACF&quot;/&gt;&lt;wsp:rsid wsp:val=&quot;00906296&quot;/&gt;&lt;wsp:rsid wsp:val=&quot;009109E9&quot;/&gt;&lt;wsp:rsid wsp:val=&quot;0091112E&quot;/&gt;&lt;wsp:rsid wsp:val=&quot;00911C9A&quot;/&gt;&lt;wsp:rsid wsp:val=&quot;00913F7C&quot;/&gt;&lt;wsp:rsid wsp:val=&quot;00914E58&quot;/&gt;&lt;wsp:rsid wsp:val=&quot;009165C7&quot;/&gt;&lt;wsp:rsid wsp:val=&quot;0091729E&quot;/&gt;&lt;wsp:rsid wsp:val=&quot;00921F95&quot;/&gt;&lt;wsp:rsid wsp:val=&quot;00922E7E&quot;/&gt;&lt;wsp:rsid wsp:val=&quot;00924E01&quot;/&gt;&lt;wsp:rsid wsp:val=&quot;00925D0D&quot;/&gt;&lt;wsp:rsid wsp:val=&quot;00927445&quot;/&gt;&lt;wsp:rsid wsp:val=&quot;00927722&quot;/&gt;&lt;wsp:rsid wsp:val=&quot;00931AC7&quot;/&gt;&lt;wsp:rsid wsp:val=&quot;00932324&quot;/&gt;&lt;wsp:rsid wsp:val=&quot;00932C3C&quot;/&gt;&lt;wsp:rsid wsp:val=&quot;00932E54&quot;/&gt;&lt;wsp:rsid wsp:val=&quot;00933256&quot;/&gt;&lt;wsp:rsid wsp:val=&quot;00940020&quot;/&gt;&lt;wsp:rsid wsp:val=&quot;00940200&quot;/&gt;&lt;wsp:rsid wsp:val=&quot;00942A0B&quot;/&gt;&lt;wsp:rsid wsp:val=&quot;00942A75&quot;/&gt;&lt;wsp:rsid wsp:val=&quot;00943753&quot;/&gt;&lt;wsp:rsid wsp:val=&quot;00945E7B&quot;/&gt;&lt;wsp:rsid wsp:val=&quot;00950346&quot;/&gt;&lt;wsp:rsid wsp:val=&quot;00952A98&quot;/&gt;&lt;wsp:rsid wsp:val=&quot;009559B1&quot;/&gt;&lt;wsp:rsid wsp:val=&quot;00955FAF&quot;/&gt;&lt;wsp:rsid wsp:val=&quot;00957239&quot;/&gt;&lt;wsp:rsid wsp:val=&quot;009574BD&quot;/&gt;&lt;wsp:rsid wsp:val=&quot;00957D21&quot;/&gt;&lt;wsp:rsid wsp:val=&quot;00960F69&quot;/&gt;&lt;wsp:rsid wsp:val=&quot;0096276A&quot;/&gt;&lt;wsp:rsid wsp:val=&quot;00966AF5&quot;/&gt;&lt;wsp:rsid wsp:val=&quot;00967159&quot;/&gt;&lt;wsp:rsid wsp:val=&quot;00967B6C&quot;/&gt;&lt;wsp:rsid wsp:val=&quot;00972502&quot;/&gt;&lt;wsp:rsid wsp:val=&quot;00972681&quot;/&gt;&lt;wsp:rsid wsp:val=&quot;00972C4B&quot;/&gt;&lt;wsp:rsid wsp:val=&quot;00975DE1&quot;/&gt;&lt;wsp:rsid wsp:val=&quot;00976117&quot;/&gt;&lt;wsp:rsid wsp:val=&quot;00981CA2&quot;/&gt;&lt;wsp:rsid wsp:val=&quot;00983486&quot;/&gt;&lt;wsp:rsid wsp:val=&quot;009841B0&quot;/&gt;&lt;wsp:rsid wsp:val=&quot;0098421B&quot;/&gt;&lt;wsp:rsid wsp:val=&quot;00984AB9&quot;/&gt;&lt;wsp:rsid wsp:val=&quot;009861EF&quot;/&gt;&lt;wsp:rsid wsp:val=&quot;00986D01&quot;/&gt;&lt;wsp:rsid wsp:val=&quot;00987507&quot;/&gt;&lt;wsp:rsid wsp:val=&quot;00990A4A&quot;/&gt;&lt;wsp:rsid wsp:val=&quot;0099147F&quot;/&gt;&lt;wsp:rsid wsp:val=&quot;00991962&quot;/&gt;&lt;wsp:rsid wsp:val=&quot;00992860&quot;/&gt;&lt;wsp:rsid wsp:val=&quot;009928A2&quot;/&gt;&lt;wsp:rsid wsp:val=&quot;00994050&quot;/&gt;&lt;wsp:rsid wsp:val=&quot;009952BA&quot;/&gt;&lt;wsp:rsid wsp:val=&quot;0099538C&quot;/&gt;&lt;wsp:rsid wsp:val=&quot;0099563F&quot;/&gt;&lt;wsp:rsid wsp:val=&quot;009963D6&quot;/&gt;&lt;wsp:rsid wsp:val=&quot;00997475&quot;/&gt;&lt;wsp:rsid wsp:val=&quot;009A070E&quot;/&gt;&lt;wsp:rsid wsp:val=&quot;009A0A37&quot;/&gt;&lt;wsp:rsid wsp:val=&quot;009A197D&quot;/&gt;&lt;wsp:rsid wsp:val=&quot;009A40AC&quot;/&gt;&lt;wsp:rsid wsp:val=&quot;009A41D1&quot;/&gt;&lt;wsp:rsid wsp:val=&quot;009A452F&quot;/&gt;&lt;wsp:rsid wsp:val=&quot;009A4FD6&quot;/&gt;&lt;wsp:rsid wsp:val=&quot;009A5B52&quot;/&gt;&lt;wsp:rsid wsp:val=&quot;009A68EC&quot;/&gt;&lt;wsp:rsid wsp:val=&quot;009A7C68&quot;/&gt;&lt;wsp:rsid wsp:val=&quot;009B0DC2&quot;/&gt;&lt;wsp:rsid wsp:val=&quot;009B253A&quot;/&gt;&lt;wsp:rsid wsp:val=&quot;009B5913&quot;/&gt;&lt;wsp:rsid wsp:val=&quot;009B7601&quot;/&gt;&lt;wsp:rsid wsp:val=&quot;009B7DE8&quot;/&gt;&lt;wsp:rsid wsp:val=&quot;009C0E44&quot;/&gt;&lt;wsp:rsid wsp:val=&quot;009C2D8B&quot;/&gt;&lt;wsp:rsid wsp:val=&quot;009C701B&quot;/&gt;&lt;wsp:rsid wsp:val=&quot;009C771E&quot;/&gt;&lt;wsp:rsid wsp:val=&quot;009D174D&quot;/&gt;&lt;wsp:rsid wsp:val=&quot;009D24BC&quot;/&gt;&lt;wsp:rsid wsp:val=&quot;009D3046&quot;/&gt;&lt;wsp:rsid wsp:val=&quot;009D3692&quot;/&gt;&lt;wsp:rsid wsp:val=&quot;009D3A1C&quot;/&gt;&lt;wsp:rsid wsp:val=&quot;009D4A22&quot;/&gt;&lt;wsp:rsid wsp:val=&quot;009D66FC&quot;/&gt;&lt;wsp:rsid wsp:val=&quot;009D6F1C&quot;/&gt;&lt;wsp:rsid wsp:val=&quot;009E001A&quot;/&gt;&lt;wsp:rsid wsp:val=&quot;009E0F7D&quot;/&gt;&lt;wsp:rsid wsp:val=&quot;009E3A03&quot;/&gt;&lt;wsp:rsid wsp:val=&quot;009E6630&quot;/&gt;&lt;wsp:rsid wsp:val=&quot;009E6E64&quot;/&gt;&lt;wsp:rsid wsp:val=&quot;009F06F1&quot;/&gt;&lt;wsp:rsid wsp:val=&quot;009F08C7&quot;/&gt;&lt;wsp:rsid wsp:val=&quot;009F1773&quot;/&gt;&lt;wsp:rsid wsp:val=&quot;009F3801&quot;/&gt;&lt;wsp:rsid wsp:val=&quot;009F4017&quot;/&gt;&lt;wsp:rsid wsp:val=&quot;00A00788&quot;/&gt;&lt;wsp:rsid wsp:val=&quot;00A00FA7&quot;/&gt;&lt;wsp:rsid wsp:val=&quot;00A011E5&quot;/&gt;&lt;wsp:rsid wsp:val=&quot;00A02098&quot;/&gt;&lt;wsp:rsid wsp:val=&quot;00A03AD5&quot;/&gt;&lt;wsp:rsid wsp:val=&quot;00A03BF0&quot;/&gt;&lt;wsp:rsid wsp:val=&quot;00A03FA7&quot;/&gt;&lt;wsp:rsid wsp:val=&quot;00A04E43&quot;/&gt;&lt;wsp:rsid wsp:val=&quot;00A04F9E&quot;/&gt;&lt;wsp:rsid wsp:val=&quot;00A06496&quot;/&gt;&lt;wsp:rsid wsp:val=&quot;00A076F9&quot;/&gt;&lt;wsp:rsid wsp:val=&quot;00A07FB8&quot;/&gt;&lt;wsp:rsid wsp:val=&quot;00A103E5&quot;/&gt;&lt;wsp:rsid wsp:val=&quot;00A1065F&quot;/&gt;&lt;wsp:rsid wsp:val=&quot;00A122C9&quot;/&gt;&lt;wsp:rsid wsp:val=&quot;00A12BBC&quot;/&gt;&lt;wsp:rsid wsp:val=&quot;00A16810&quot;/&gt;&lt;wsp:rsid wsp:val=&quot;00A179B7&quot;/&gt;&lt;wsp:rsid wsp:val=&quot;00A22C9F&quot;/&gt;&lt;wsp:rsid wsp:val=&quot;00A24353&quot;/&gt;&lt;wsp:rsid wsp:val=&quot;00A245C8&quot;/&gt;&lt;wsp:rsid wsp:val=&quot;00A245EA&quot;/&gt;&lt;wsp:rsid wsp:val=&quot;00A26AFA&quot;/&gt;&lt;wsp:rsid wsp:val=&quot;00A27884&quot;/&gt;&lt;wsp:rsid wsp:val=&quot;00A27E63&quot;/&gt;&lt;wsp:rsid wsp:val=&quot;00A322A6&quot;/&gt;&lt;wsp:rsid wsp:val=&quot;00A322CF&quot;/&gt;&lt;wsp:rsid wsp:val=&quot;00A36349&quot;/&gt;&lt;wsp:rsid wsp:val=&quot;00A431CA&quot;/&gt;&lt;wsp:rsid wsp:val=&quot;00A45DA3&quot;/&gt;&lt;wsp:rsid wsp:val=&quot;00A472A5&quot;/&gt;&lt;wsp:rsid wsp:val=&quot;00A47BE9&quot;/&gt;&lt;wsp:rsid wsp:val=&quot;00A47D77&quot;/&gt;&lt;wsp:rsid wsp:val=&quot;00A5081B&quot;/&gt;&lt;wsp:rsid wsp:val=&quot;00A50A62&quot;/&gt;&lt;wsp:rsid wsp:val=&quot;00A50ECE&quot;/&gt;&lt;wsp:rsid wsp:val=&quot;00A522CC&quot;/&gt;&lt;wsp:rsid wsp:val=&quot;00A52804&quot;/&gt;&lt;wsp:rsid wsp:val=&quot;00A52A32&quot;/&gt;&lt;wsp:rsid wsp:val=&quot;00A53B12&quot;/&gt;&lt;wsp:rsid wsp:val=&quot;00A558CC&quot;/&gt;&lt;wsp:rsid wsp:val=&quot;00A558F3&quot;/&gt;&lt;wsp:rsid wsp:val=&quot;00A563DD&quot;/&gt;&lt;wsp:rsid wsp:val=&quot;00A5686E&quot;/&gt;&lt;wsp:rsid wsp:val=&quot;00A57607&quot;/&gt;&lt;wsp:rsid wsp:val=&quot;00A6041C&quot;/&gt;&lt;wsp:rsid wsp:val=&quot;00A60EED&quot;/&gt;&lt;wsp:rsid wsp:val=&quot;00A61465&quot;/&gt;&lt;wsp:rsid wsp:val=&quot;00A61E34&quot;/&gt;&lt;wsp:rsid wsp:val=&quot;00A62405&quot;/&gt;&lt;wsp:rsid wsp:val=&quot;00A661D0&quot;/&gt;&lt;wsp:rsid wsp:val=&quot;00A674DA&quot;/&gt;&lt;wsp:rsid wsp:val=&quot;00A738FC&quot;/&gt;&lt;wsp:rsid wsp:val=&quot;00A805E9&quot;/&gt;&lt;wsp:rsid wsp:val=&quot;00A82CC5&quot;/&gt;&lt;wsp:rsid wsp:val=&quot;00A83438&quot;/&gt;&lt;wsp:rsid wsp:val=&quot;00A8383C&quot;/&gt;&lt;wsp:rsid wsp:val=&quot;00A83884&quot;/&gt;&lt;wsp:rsid wsp:val=&quot;00A85144&quot;/&gt;&lt;wsp:rsid wsp:val=&quot;00A85E9E&quot;/&gt;&lt;wsp:rsid wsp:val=&quot;00A924EB&quot;/&gt;&lt;wsp:rsid wsp:val=&quot;00A96AA1&quot;/&gt;&lt;wsp:rsid wsp:val=&quot;00AA0A4C&quot;/&gt;&lt;wsp:rsid wsp:val=&quot;00AA12D2&quot;/&gt;&lt;wsp:rsid wsp:val=&quot;00AA1E70&quot;/&gt;&lt;wsp:rsid wsp:val=&quot;00AA248F&quot;/&gt;&lt;wsp:rsid wsp:val=&quot;00AA33E4&quot;/&gt;&lt;wsp:rsid wsp:val=&quot;00AA3ABF&quot;/&gt;&lt;wsp:rsid wsp:val=&quot;00AA494B&quot;/&gt;&lt;wsp:rsid wsp:val=&quot;00AA51DF&quot;/&gt;&lt;wsp:rsid wsp:val=&quot;00AA582F&quot;/&gt;&lt;wsp:rsid wsp:val=&quot;00AB1AB0&quot;/&gt;&lt;wsp:rsid wsp:val=&quot;00AB1EDA&quot;/&gt;&lt;wsp:rsid wsp:val=&quot;00AB2292&quot;/&gt;&lt;wsp:rsid wsp:val=&quot;00AB2C81&quot;/&gt;&lt;wsp:rsid wsp:val=&quot;00AB4227&quot;/&gt;&lt;wsp:rsid wsp:val=&quot;00AB5D01&quot;/&gt;&lt;wsp:rsid wsp:val=&quot;00AC0034&quot;/&gt;&lt;wsp:rsid wsp:val=&quot;00AC2328&quot;/&gt;&lt;wsp:rsid wsp:val=&quot;00AC2F0D&quot;/&gt;&lt;wsp:rsid wsp:val=&quot;00AC3106&quot;/&gt;&lt;wsp:rsid wsp:val=&quot;00AC3EE4&quot;/&gt;&lt;wsp:rsid wsp:val=&quot;00AC5EC1&quot;/&gt;&lt;wsp:rsid wsp:val=&quot;00AC5F6E&quot;/&gt;&lt;wsp:rsid wsp:val=&quot;00AC6943&quot;/&gt;&lt;wsp:rsid wsp:val=&quot;00AC73FE&quot;/&gt;&lt;wsp:rsid wsp:val=&quot;00AC76DA&quot;/&gt;&lt;wsp:rsid wsp:val=&quot;00AD2A7E&quot;/&gt;&lt;wsp:rsid wsp:val=&quot;00AD37AA&quot;/&gt;&lt;wsp:rsid wsp:val=&quot;00AD622F&quot;/&gt;&lt;wsp:rsid wsp:val=&quot;00AE0282&quot;/&gt;&lt;wsp:rsid wsp:val=&quot;00AE1C0F&quot;/&gt;&lt;wsp:rsid wsp:val=&quot;00AE205D&quot;/&gt;&lt;wsp:rsid wsp:val=&quot;00AE3BA8&quot;/&gt;&lt;wsp:rsid wsp:val=&quot;00AE4266&quot;/&gt;&lt;wsp:rsid wsp:val=&quot;00AE5080&quot;/&gt;&lt;wsp:rsid wsp:val=&quot;00AE691B&quot;/&gt;&lt;wsp:rsid wsp:val=&quot;00AE7836&quot;/&gt;&lt;wsp:rsid wsp:val=&quot;00AF0F15&quot;/&gt;&lt;wsp:rsid wsp:val=&quot;00AF11C8&quot;/&gt;&lt;wsp:rsid wsp:val=&quot;00B02489&quot;/&gt;&lt;wsp:rsid wsp:val=&quot;00B02A42&quot;/&gt;&lt;wsp:rsid wsp:val=&quot;00B03F40&quot;/&gt;&lt;wsp:rsid wsp:val=&quot;00B05734&quot;/&gt;&lt;wsp:rsid wsp:val=&quot;00B06A13&quot;/&gt;&lt;wsp:rsid wsp:val=&quot;00B124EF&quot;/&gt;&lt;wsp:rsid wsp:val=&quot;00B12BDA&quot;/&gt;&lt;wsp:rsid wsp:val=&quot;00B12D21&quot;/&gt;&lt;wsp:rsid wsp:val=&quot;00B12DD2&quot;/&gt;&lt;wsp:rsid wsp:val=&quot;00B14137&quot;/&gt;&lt;wsp:rsid wsp:val=&quot;00B14592&quot;/&gt;&lt;wsp:rsid wsp:val=&quot;00B14EB2&quot;/&gt;&lt;wsp:rsid wsp:val=&quot;00B16F97&quot;/&gt;&lt;wsp:rsid wsp:val=&quot;00B17014&quot;/&gt;&lt;wsp:rsid wsp:val=&quot;00B20740&quot;/&gt;&lt;wsp:rsid wsp:val=&quot;00B214BD&quot;/&gt;&lt;wsp:rsid wsp:val=&quot;00B24C93&quot;/&gt;&lt;wsp:rsid wsp:val=&quot;00B26018&quot;/&gt;&lt;wsp:rsid wsp:val=&quot;00B27250&quot;/&gt;&lt;wsp:rsid wsp:val=&quot;00B31C57&quot;/&gt;&lt;wsp:rsid wsp:val=&quot;00B358E7&quot;/&gt;&lt;wsp:rsid wsp:val=&quot;00B36C1D&quot;/&gt;&lt;wsp:rsid wsp:val=&quot;00B401D1&quot;/&gt;&lt;wsp:rsid wsp:val=&quot;00B4222A&quot;/&gt;&lt;wsp:rsid wsp:val=&quot;00B50E31&quot;/&gt;&lt;wsp:rsid wsp:val=&quot;00B531DF&quot;/&gt;&lt;wsp:rsid wsp:val=&quot;00B5458C&quot;/&gt;&lt;wsp:rsid wsp:val=&quot;00B555A1&quot;/&gt;&lt;wsp:rsid wsp:val=&quot;00B63BF7&quot;/&gt;&lt;wsp:rsid wsp:val=&quot;00B64E59&quot;/&gt;&lt;wsp:rsid wsp:val=&quot;00B66E71&quot;/&gt;&lt;wsp:rsid wsp:val=&quot;00B677A6&quot;/&gt;&lt;wsp:rsid wsp:val=&quot;00B7078B&quot;/&gt;&lt;wsp:rsid wsp:val=&quot;00B711D1&quot;/&gt;&lt;wsp:rsid wsp:val=&quot;00B71C21&quot;/&gt;&lt;wsp:rsid wsp:val=&quot;00B7296A&quot;/&gt;&lt;wsp:rsid wsp:val=&quot;00B739F9&quot;/&gt;&lt;wsp:rsid wsp:val=&quot;00B779E1&quot;/&gt;&lt;wsp:rsid wsp:val=&quot;00B8004F&quot;/&gt;&lt;wsp:rsid wsp:val=&quot;00B80AEC&quot;/&gt;&lt;wsp:rsid wsp:val=&quot;00B80D1A&quot;/&gt;&lt;wsp:rsid wsp:val=&quot;00B835FC&quot;/&gt;&lt;wsp:rsid wsp:val=&quot;00B839CB&quot;/&gt;&lt;wsp:rsid wsp:val=&quot;00B86C81&quot;/&gt;&lt;wsp:rsid wsp:val=&quot;00B870B7&quot;/&gt;&lt;wsp:rsid wsp:val=&quot;00B9029B&quot;/&gt;&lt;wsp:rsid wsp:val=&quot;00B9144F&quot;/&gt;&lt;wsp:rsid wsp:val=&quot;00B91B67&quot;/&gt;&lt;wsp:rsid wsp:val=&quot;00B91F79&quot;/&gt;&lt;wsp:rsid wsp:val=&quot;00B94A88&quot;/&gt;&lt;wsp:rsid wsp:val=&quot;00B95EC2&quot;/&gt;&lt;wsp:rsid wsp:val=&quot;00B974D7&quot;/&gt;&lt;wsp:rsid wsp:val=&quot;00B97ACD&quot;/&gt;&lt;wsp:rsid wsp:val=&quot;00BA0EE5&quot;/&gt;&lt;wsp:rsid wsp:val=&quot;00BA1179&quot;/&gt;&lt;wsp:rsid wsp:val=&quot;00BA2F7C&quot;/&gt;&lt;wsp:rsid wsp:val=&quot;00BA30E6&quot;/&gt;&lt;wsp:rsid wsp:val=&quot;00BA3905&quot;/&gt;&lt;wsp:rsid wsp:val=&quot;00BA50BD&quot;/&gt;&lt;wsp:rsid wsp:val=&quot;00BA6958&quot;/&gt;&lt;wsp:rsid wsp:val=&quot;00BA6D71&quot;/&gt;&lt;wsp:rsid wsp:val=&quot;00BA6F39&quot;/&gt;&lt;wsp:rsid wsp:val=&quot;00BB3960&quot;/&gt;&lt;wsp:rsid wsp:val=&quot;00BB4722&quot;/&gt;&lt;wsp:rsid wsp:val=&quot;00BB5EB6&quot;/&gt;&lt;wsp:rsid wsp:val=&quot;00BB6C23&quot;/&gt;&lt;wsp:rsid wsp:val=&quot;00BB77FC&quot;/&gt;&lt;wsp:rsid wsp:val=&quot;00BB7DFD&quot;/&gt;&lt;wsp:rsid wsp:val=&quot;00BC009C&quot;/&gt;&lt;wsp:rsid wsp:val=&quot;00BC0361&quot;/&gt;&lt;wsp:rsid wsp:val=&quot;00BC126C&quot;/&gt;&lt;wsp:rsid wsp:val=&quot;00BC1C0B&quot;/&gt;&lt;wsp:rsid wsp:val=&quot;00BC2A3E&quot;/&gt;&lt;wsp:rsid wsp:val=&quot;00BC3BFF&quot;/&gt;&lt;wsp:rsid wsp:val=&quot;00BC3F0E&quot;/&gt;&lt;wsp:rsid wsp:val=&quot;00BC4B14&quot;/&gt;&lt;wsp:rsid wsp:val=&quot;00BC6106&quot;/&gt;&lt;wsp:rsid wsp:val=&quot;00BC6927&quot;/&gt;&lt;wsp:rsid wsp:val=&quot;00BC6E93&quot;/&gt;&lt;wsp:rsid wsp:val=&quot;00BC7272&quot;/&gt;&lt;wsp:rsid wsp:val=&quot;00BC7453&quot;/&gt;&lt;wsp:rsid wsp:val=&quot;00BD0D8C&quot;/&gt;&lt;wsp:rsid wsp:val=&quot;00BD2928&quot;/&gt;&lt;wsp:rsid wsp:val=&quot;00BD4193&quot;/&gt;&lt;wsp:rsid wsp:val=&quot;00BD6077&quot;/&gt;&lt;wsp:rsid wsp:val=&quot;00BD712D&quot;/&gt;&lt;wsp:rsid wsp:val=&quot;00BE0214&quot;/&gt;&lt;wsp:rsid wsp:val=&quot;00BE2752&quot;/&gt;&lt;wsp:rsid wsp:val=&quot;00BE3053&quot;/&gt;&lt;wsp:rsid wsp:val=&quot;00BE3191&quot;/&gt;&lt;wsp:rsid wsp:val=&quot;00BE43CD&quot;/&gt;&lt;wsp:rsid wsp:val=&quot;00BE4617&quot;/&gt;&lt;wsp:rsid wsp:val=&quot;00BE53EB&quot;/&gt;&lt;wsp:rsid wsp:val=&quot;00BE68CF&quot;/&gt;&lt;wsp:rsid wsp:val=&quot;00BE6F3F&quot;/&gt;&lt;wsp:rsid wsp:val=&quot;00BF00E8&quot;/&gt;&lt;wsp:rsid wsp:val=&quot;00BF057C&quot;/&gt;&lt;wsp:rsid wsp:val=&quot;00BF0F85&quot;/&gt;&lt;wsp:rsid wsp:val=&quot;00BF1CDD&quot;/&gt;&lt;wsp:rsid wsp:val=&quot;00BF306C&quot;/&gt;&lt;wsp:rsid wsp:val=&quot;00BF4735&quot;/&gt;&lt;wsp:rsid wsp:val=&quot;00BF4C75&quot;/&gt;&lt;wsp:rsid wsp:val=&quot;00BF6358&quot;/&gt;&lt;wsp:rsid wsp:val=&quot;00BF65E7&quot;/&gt;&lt;wsp:rsid wsp:val=&quot;00BF7A45&quot;/&gt;&lt;wsp:rsid wsp:val=&quot;00BF7CF0&quot;/&gt;&lt;wsp:rsid wsp:val=&quot;00BF7E91&quot;/&gt;&lt;wsp:rsid wsp:val=&quot;00C01B97&quot;/&gt;&lt;wsp:rsid wsp:val=&quot;00C02527&quot;/&gt;&lt;wsp:rsid wsp:val=&quot;00C02720&quot;/&gt;&lt;wsp:rsid wsp:val=&quot;00C02FE3&quot;/&gt;&lt;wsp:rsid wsp:val=&quot;00C04339&quot;/&gt;&lt;wsp:rsid wsp:val=&quot;00C06EF1&quot;/&gt;&lt;wsp:rsid wsp:val=&quot;00C078DD&quot;/&gt;&lt;wsp:rsid wsp:val=&quot;00C119B1&quot;/&gt;&lt;wsp:rsid wsp:val=&quot;00C12449&quot;/&gt;&lt;wsp:rsid wsp:val=&quot;00C137CD&quot;/&gt;&lt;wsp:rsid wsp:val=&quot;00C16568&quot;/&gt;&lt;wsp:rsid wsp:val=&quot;00C170FD&quot;/&gt;&lt;wsp:rsid wsp:val=&quot;00C1732E&quot;/&gt;&lt;wsp:rsid wsp:val=&quot;00C20464&quot;/&gt;&lt;wsp:rsid wsp:val=&quot;00C2052A&quot;/&gt;&lt;wsp:rsid wsp:val=&quot;00C228E2&quot;/&gt;&lt;wsp:rsid wsp:val=&quot;00C22B1E&quot;/&gt;&lt;wsp:rsid wsp:val=&quot;00C24061&quot;/&gt;&lt;wsp:rsid wsp:val=&quot;00C25A82&quot;/&gt;&lt;wsp:rsid wsp:val=&quot;00C26788&quot;/&gt;&lt;wsp:rsid wsp:val=&quot;00C27D56&quot;/&gt;&lt;wsp:rsid wsp:val=&quot;00C312EE&quot;/&gt;&lt;wsp:rsid wsp:val=&quot;00C3375D&quot;/&gt;&lt;wsp:rsid wsp:val=&quot;00C3418B&quot;/&gt;&lt;wsp:rsid wsp:val=&quot;00C3681D&quot;/&gt;&lt;wsp:rsid wsp:val=&quot;00C37DDD&quot;/&gt;&lt;wsp:rsid wsp:val=&quot;00C41F9A&quot;/&gt;&lt;wsp:rsid wsp:val=&quot;00C42889&quot;/&gt;&lt;wsp:rsid wsp:val=&quot;00C433AF&quot;/&gt;&lt;wsp:rsid wsp:val=&quot;00C43F7E&quot;/&gt;&lt;wsp:rsid wsp:val=&quot;00C44118&quot;/&gt;&lt;wsp:rsid wsp:val=&quot;00C46137&quot;/&gt;&lt;wsp:rsid wsp:val=&quot;00C46E3C&quot;/&gt;&lt;wsp:rsid wsp:val=&quot;00C46EF2&quot;/&gt;&lt;wsp:rsid wsp:val=&quot;00C47C4B&quot;/&gt;&lt;wsp:rsid wsp:val=&quot;00C51754&quot;/&gt;&lt;wsp:rsid wsp:val=&quot;00C51BFD&quot;/&gt;&lt;wsp:rsid wsp:val=&quot;00C51E71&quot;/&gt;&lt;wsp:rsid wsp:val=&quot;00C530A1&quot;/&gt;&lt;wsp:rsid wsp:val=&quot;00C53CDF&quot;/&gt;&lt;wsp:rsid wsp:val=&quot;00C54A46&quot;/&gt;&lt;wsp:rsid wsp:val=&quot;00C56A6A&quot;/&gt;&lt;wsp:rsid wsp:val=&quot;00C574E8&quot;/&gt;&lt;wsp:rsid wsp:val=&quot;00C600A4&quot;/&gt;&lt;wsp:rsid wsp:val=&quot;00C60807&quot;/&gt;&lt;wsp:rsid wsp:val=&quot;00C6106D&quot;/&gt;&lt;wsp:rsid wsp:val=&quot;00C61F3A&quot;/&gt;&lt;wsp:rsid wsp:val=&quot;00C659C7&quot;/&gt;&lt;wsp:rsid wsp:val=&quot;00C7154F&quot;/&gt;&lt;wsp:rsid wsp:val=&quot;00C726D1&quot;/&gt;&lt;wsp:rsid wsp:val=&quot;00C73A1F&quot;/&gt;&lt;wsp:rsid wsp:val=&quot;00C747B4&quot;/&gt;&lt;wsp:rsid wsp:val=&quot;00C74C57&quot;/&gt;&lt;wsp:rsid wsp:val=&quot;00C7767D&quot;/&gt;&lt;wsp:rsid wsp:val=&quot;00C80A15&quot;/&gt;&lt;wsp:rsid wsp:val=&quot;00C83B48&quot;/&gt;&lt;wsp:rsid wsp:val=&quot;00C84F63&quot;/&gt;&lt;wsp:rsid wsp:val=&quot;00C90092&quot;/&gt;&lt;wsp:rsid wsp:val=&quot;00C928E6&quot;/&gt;&lt;wsp:rsid wsp:val=&quot;00C938A4&quot;/&gt;&lt;wsp:rsid wsp:val=&quot;00C93AC0&quot;/&gt;&lt;wsp:rsid wsp:val=&quot;00C94D13&quot;/&gt;&lt;wsp:rsid wsp:val=&quot;00C951FB&quot;/&gt;&lt;wsp:rsid wsp:val=&quot;00C95B16&quot;/&gt;&lt;wsp:rsid wsp:val=&quot;00C96376&quot;/&gt;&lt;wsp:rsid wsp:val=&quot;00C97516&quot;/&gt;&lt;wsp:rsid wsp:val=&quot;00C97D81&quot;/&gt;&lt;wsp:rsid wsp:val=&quot;00C97D98&quot;/&gt;&lt;wsp:rsid wsp:val=&quot;00CA2D1B&quot;/&gt;&lt;wsp:rsid wsp:val=&quot;00CA52CF&quot;/&gt;&lt;wsp:rsid wsp:val=&quot;00CA5CFE&quot;/&gt;&lt;wsp:rsid wsp:val=&quot;00CA7728&quot;/&gt;&lt;wsp:rsid wsp:val=&quot;00CB03F6&quot;/&gt;&lt;wsp:rsid wsp:val=&quot;00CB091B&quot;/&gt;&lt;wsp:rsid wsp:val=&quot;00CB0F44&quot;/&gt;&lt;wsp:rsid wsp:val=&quot;00CB1DD4&quot;/&gt;&lt;wsp:rsid wsp:val=&quot;00CB773C&quot;/&gt;&lt;wsp:rsid wsp:val=&quot;00CB792A&quot;/&gt;&lt;wsp:rsid wsp:val=&quot;00CC1D88&quot;/&gt;&lt;wsp:rsid wsp:val=&quot;00CC26F3&quot;/&gt;&lt;wsp:rsid wsp:val=&quot;00CC3922&quot;/&gt;&lt;wsp:rsid wsp:val=&quot;00CC3C6D&quot;/&gt;&lt;wsp:rsid wsp:val=&quot;00CC3FD7&quot;/&gt;&lt;wsp:rsid wsp:val=&quot;00CC4247&quot;/&gt;&lt;wsp:rsid wsp:val=&quot;00CC47D5&quot;/&gt;&lt;wsp:rsid wsp:val=&quot;00CC4EB7&quot;/&gt;&lt;wsp:rsid wsp:val=&quot;00CC5A7A&quot;/&gt;&lt;wsp:rsid wsp:val=&quot;00CC6667&quot;/&gt;&lt;wsp:rsid wsp:val=&quot;00CC74A3&quot;/&gt;&lt;wsp:rsid wsp:val=&quot;00CC7B15&quot;/&gt;&lt;wsp:rsid wsp:val=&quot;00CC7D21&quot;/&gt;&lt;wsp:rsid wsp:val=&quot;00CD33AD&quot;/&gt;&lt;wsp:rsid wsp:val=&quot;00CD3AB8&quot;/&gt;&lt;wsp:rsid wsp:val=&quot;00CD60E1&quot;/&gt;&lt;wsp:rsid wsp:val=&quot;00CD73AE&quot;/&gt;&lt;wsp:rsid wsp:val=&quot;00CE1944&quot;/&gt;&lt;wsp:rsid wsp:val=&quot;00CE1F5E&quot;/&gt;&lt;wsp:rsid wsp:val=&quot;00CE4C46&quot;/&gt;&lt;wsp:rsid wsp:val=&quot;00CE50FC&quot;/&gt;&lt;wsp:rsid wsp:val=&quot;00CE61D2&quot;/&gt;&lt;wsp:rsid wsp:val=&quot;00CF077A&quot;/&gt;&lt;wsp:rsid wsp:val=&quot;00CF0E79&quot;/&gt;&lt;wsp:rsid wsp:val=&quot;00CF1C70&quot;/&gt;&lt;wsp:rsid wsp:val=&quot;00CF22D2&quot;/&gt;&lt;wsp:rsid wsp:val=&quot;00CF2E96&quot;/&gt;&lt;wsp:rsid wsp:val=&quot;00CF6046&quot;/&gt;&lt;wsp:rsid wsp:val=&quot;00CF617A&quot;/&gt;&lt;wsp:rsid wsp:val=&quot;00CF6190&quot;/&gt;&lt;wsp:rsid wsp:val=&quot;00CF6FC4&quot;/&gt;&lt;wsp:rsid wsp:val=&quot;00CF71D9&quot;/&gt;&lt;wsp:rsid wsp:val=&quot;00D0140F&quot;/&gt;&lt;wsp:rsid wsp:val=&quot;00D02521&quot;/&gt;&lt;wsp:rsid wsp:val=&quot;00D05995&quot;/&gt;&lt;wsp:rsid wsp:val=&quot;00D07904&quot;/&gt;&lt;wsp:rsid wsp:val=&quot;00D106BE&quot;/&gt;&lt;wsp:rsid wsp:val=&quot;00D1232D&quot;/&gt;&lt;wsp:rsid wsp:val=&quot;00D12A38&quot;/&gt;&lt;wsp:rsid wsp:val=&quot;00D130D5&quot;/&gt;&lt;wsp:rsid wsp:val=&quot;00D13AB1&quot;/&gt;&lt;wsp:rsid wsp:val=&quot;00D156E9&quot;/&gt;&lt;wsp:rsid wsp:val=&quot;00D15A64&quot;/&gt;&lt;wsp:rsid wsp:val=&quot;00D15F9A&quot;/&gt;&lt;wsp:rsid wsp:val=&quot;00D172A2&quot;/&gt;&lt;wsp:rsid wsp:val=&quot;00D1765C&quot;/&gt;&lt;wsp:rsid wsp:val=&quot;00D206D5&quot;/&gt;&lt;wsp:rsid wsp:val=&quot;00D21D36&quot;/&gt;&lt;wsp:rsid wsp:val=&quot;00D220BD&quot;/&gt;&lt;wsp:rsid wsp:val=&quot;00D23314&quot;/&gt;&lt;wsp:rsid wsp:val=&quot;00D23321&quot;/&gt;&lt;wsp:rsid wsp:val=&quot;00D23EA5&quot;/&gt;&lt;wsp:rsid wsp:val=&quot;00D2408F&quot;/&gt;&lt;wsp:rsid wsp:val=&quot;00D30348&quot;/&gt;&lt;wsp:rsid wsp:val=&quot;00D30E7C&quot;/&gt;&lt;wsp:rsid wsp:val=&quot;00D32EDC&quot;/&gt;&lt;wsp:rsid wsp:val=&quot;00D34225&quot;/&gt;&lt;wsp:rsid wsp:val=&quot;00D34C43&quot;/&gt;&lt;wsp:rsid wsp:val=&quot;00D36A70&quot;/&gt;&lt;wsp:rsid wsp:val=&quot;00D378FD&quot;/&gt;&lt;wsp:rsid wsp:val=&quot;00D37AE4&quot;/&gt;&lt;wsp:rsid wsp:val=&quot;00D401FD&quot;/&gt;&lt;wsp:rsid wsp:val=&quot;00D40A82&quot;/&gt;&lt;wsp:rsid wsp:val=&quot;00D41DC3&quot;/&gt;&lt;wsp:rsid wsp:val=&quot;00D42538&quot;/&gt;&lt;wsp:rsid wsp:val=&quot;00D42EA1&quot;/&gt;&lt;wsp:rsid wsp:val=&quot;00D5100A&quot;/&gt;&lt;wsp:rsid wsp:val=&quot;00D5215E&quot;/&gt;&lt;wsp:rsid wsp:val=&quot;00D5306C&quot;/&gt;&lt;wsp:rsid wsp:val=&quot;00D530AC&quot;/&gt;&lt;wsp:rsid wsp:val=&quot;00D542B4&quot;/&gt;&lt;wsp:rsid wsp:val=&quot;00D5449B&quot;/&gt;&lt;wsp:rsid wsp:val=&quot;00D54817&quot;/&gt;&lt;wsp:rsid wsp:val=&quot;00D54F6C&quot;/&gt;&lt;wsp:rsid wsp:val=&quot;00D55D4F&quot;/&gt;&lt;wsp:rsid wsp:val=&quot;00D55E29&quot;/&gt;&lt;wsp:rsid wsp:val=&quot;00D565C2&quot;/&gt;&lt;wsp:rsid wsp:val=&quot;00D56A4B&quot;/&gt;&lt;wsp:rsid wsp:val=&quot;00D57CEF&quot;/&gt;&lt;wsp:rsid wsp:val=&quot;00D61676&quot;/&gt;&lt;wsp:rsid wsp:val=&quot;00D62128&quot;/&gt;&lt;wsp:rsid wsp:val=&quot;00D631D6&quot;/&gt;&lt;wsp:rsid wsp:val=&quot;00D63871&quot;/&gt;&lt;wsp:rsid wsp:val=&quot;00D646F7&quot;/&gt;&lt;wsp:rsid wsp:val=&quot;00D64A00&quot;/&gt;&lt;wsp:rsid wsp:val=&quot;00D65FD0&quot;/&gt;&lt;wsp:rsid wsp:val=&quot;00D67640&quot;/&gt;&lt;wsp:rsid wsp:val=&quot;00D716CC&quot;/&gt;&lt;wsp:rsid wsp:val=&quot;00D762A3&quot;/&gt;&lt;wsp:rsid wsp:val=&quot;00D81C9D&quot;/&gt;&lt;wsp:rsid wsp:val=&quot;00D81E8E&quot;/&gt;&lt;wsp:rsid wsp:val=&quot;00D82943&quot;/&gt;&lt;wsp:rsid wsp:val=&quot;00D83A0D&quot;/&gt;&lt;wsp:rsid wsp:val=&quot;00D8455A&quot;/&gt;&lt;wsp:rsid wsp:val=&quot;00D86320&quot;/&gt;&lt;wsp:rsid wsp:val=&quot;00D8684E&quot;/&gt;&lt;wsp:rsid wsp:val=&quot;00D87AA6&quot;/&gt;&lt;wsp:rsid wsp:val=&quot;00D92C17&quot;/&gt;&lt;wsp:rsid wsp:val=&quot;00D965CE&quot;/&gt;&lt;wsp:rsid wsp:val=&quot;00DA10EE&quot;/&gt;&lt;wsp:rsid wsp:val=&quot;00DA1677&quot;/&gt;&lt;wsp:rsid wsp:val=&quot;00DA51B1&quot;/&gt;&lt;wsp:rsid wsp:val=&quot;00DA5FDB&quot;/&gt;&lt;wsp:rsid wsp:val=&quot;00DA6840&quot;/&gt;&lt;wsp:rsid wsp:val=&quot;00DA7109&quot;/&gt;&lt;wsp:rsid wsp:val=&quot;00DA7D47&quot;/&gt;&lt;wsp:rsid wsp:val=&quot;00DB2D94&quot;/&gt;&lt;wsp:rsid wsp:val=&quot;00DB5C54&quot;/&gt;&lt;wsp:rsid wsp:val=&quot;00DB6DBF&quot;/&gt;&lt;wsp:rsid wsp:val=&quot;00DB6F4C&quot;/&gt;&lt;wsp:rsid wsp:val=&quot;00DC1FAD&quot;/&gt;&lt;wsp:rsid wsp:val=&quot;00DC45DE&quot;/&gt;&lt;wsp:rsid wsp:val=&quot;00DC4A16&quot;/&gt;&lt;wsp:rsid wsp:val=&quot;00DC6255&quot;/&gt;&lt;wsp:rsid wsp:val=&quot;00DD00CE&quot;/&gt;&lt;wsp:rsid wsp:val=&quot;00DD1C03&quot;/&gt;&lt;wsp:rsid wsp:val=&quot;00DD2CA7&quot;/&gt;&lt;wsp:rsid wsp:val=&quot;00DD4123&quot;/&gt;&lt;wsp:rsid wsp:val=&quot;00DD7684&quot;/&gt;&lt;wsp:rsid wsp:val=&quot;00DE09FC&quot;/&gt;&lt;wsp:rsid wsp:val=&quot;00DE22A0&quot;/&gt;&lt;wsp:rsid wsp:val=&quot;00DE2C92&quot;/&gt;&lt;wsp:rsid wsp:val=&quot;00DE3A7A&quot;/&gt;&lt;wsp:rsid wsp:val=&quot;00DE44BF&quot;/&gt;&lt;wsp:rsid wsp:val=&quot;00DE5718&quot;/&gt;&lt;wsp:rsid wsp:val=&quot;00DE762B&quot;/&gt;&lt;wsp:rsid wsp:val=&quot;00DE7AF9&quot;/&gt;&lt;wsp:rsid wsp:val=&quot;00DF0BCC&quot;/&gt;&lt;wsp:rsid wsp:val=&quot;00DF266B&quot;/&gt;&lt;wsp:rsid wsp:val=&quot;00DF36C1&quot;/&gt;&lt;wsp:rsid wsp:val=&quot;00DF3A56&quot;/&gt;&lt;wsp:rsid wsp:val=&quot;00DF4E8C&quot;/&gt;&lt;wsp:rsid wsp:val=&quot;00DF59F1&quot;/&gt;&lt;wsp:rsid wsp:val=&quot;00DF6E59&quot;/&gt;&lt;wsp:rsid wsp:val=&quot;00E01C90&quot;/&gt;&lt;wsp:rsid wsp:val=&quot;00E02993&quot;/&gt;&lt;wsp:rsid wsp:val=&quot;00E02A4C&quot;/&gt;&lt;wsp:rsid wsp:val=&quot;00E03D7E&quot;/&gt;&lt;wsp:rsid wsp:val=&quot;00E05D56&quot;/&gt;&lt;wsp:rsid wsp:val=&quot;00E07274&quot;/&gt;&lt;wsp:rsid wsp:val=&quot;00E10129&quot;/&gt;&lt;wsp:rsid wsp:val=&quot;00E117F6&quot;/&gt;&lt;wsp:rsid wsp:val=&quot;00E13114&quot;/&gt;&lt;wsp:rsid wsp:val=&quot;00E132C8&quot;/&gt;&lt;wsp:rsid wsp:val=&quot;00E138EA&quot;/&gt;&lt;wsp:rsid wsp:val=&quot;00E1394E&quot;/&gt;&lt;wsp:rsid wsp:val=&quot;00E14785&quot;/&gt;&lt;wsp:rsid wsp:val=&quot;00E15B93&quot;/&gt;&lt;wsp:rsid wsp:val=&quot;00E16EEF&quot;/&gt;&lt;wsp:rsid wsp:val=&quot;00E17266&quot;/&gt;&lt;wsp:rsid wsp:val=&quot;00E17C0B&quot;/&gt;&lt;wsp:rsid wsp:val=&quot;00E209B8&quot;/&gt;&lt;wsp:rsid wsp:val=&quot;00E212D1&quot;/&gt;&lt;wsp:rsid wsp:val=&quot;00E21767&quot;/&gt;&lt;wsp:rsid wsp:val=&quot;00E219CA&quot;/&gt;&lt;wsp:rsid wsp:val=&quot;00E21A40&quot;/&gt;&lt;wsp:rsid wsp:val=&quot;00E23314&quot;/&gt;&lt;wsp:rsid wsp:val=&quot;00E24004&quot;/&gt;&lt;wsp:rsid wsp:val=&quot;00E25FD7&quot;/&gt;&lt;wsp:rsid wsp:val=&quot;00E31A80&quot;/&gt;&lt;wsp:rsid wsp:val=&quot;00E325B5&quot;/&gt;&lt;wsp:rsid wsp:val=&quot;00E32764&quot;/&gt;&lt;wsp:rsid wsp:val=&quot;00E33371&quot;/&gt;&lt;wsp:rsid wsp:val=&quot;00E344BB&quot;/&gt;&lt;wsp:rsid wsp:val=&quot;00E42571&quot;/&gt;&lt;wsp:rsid wsp:val=&quot;00E429F9&quot;/&gt;&lt;wsp:rsid wsp:val=&quot;00E43331&quot;/&gt;&lt;wsp:rsid wsp:val=&quot;00E43436&quot;/&gt;&lt;wsp:rsid wsp:val=&quot;00E445A8&quot;/&gt;&lt;wsp:rsid wsp:val=&quot;00E45111&quot;/&gt;&lt;wsp:rsid wsp:val=&quot;00E4597D&quot;/&gt;&lt;wsp:rsid wsp:val=&quot;00E46647&quot;/&gt;&lt;wsp:rsid wsp:val=&quot;00E47369&quot;/&gt;&lt;wsp:rsid wsp:val=&quot;00E47373&quot;/&gt;&lt;wsp:rsid wsp:val=&quot;00E55080&quot;/&gt;&lt;wsp:rsid wsp:val=&quot;00E55DDA&quot;/&gt;&lt;wsp:rsid wsp:val=&quot;00E56538&quot;/&gt;&lt;wsp:rsid wsp:val=&quot;00E56CA1&quot;/&gt;&lt;wsp:rsid wsp:val=&quot;00E576CC&quot;/&gt;&lt;wsp:rsid wsp:val=&quot;00E60539&quot;/&gt;&lt;wsp:rsid wsp:val=&quot;00E60788&quot;/&gt;&lt;wsp:rsid wsp:val=&quot;00E607E4&quot;/&gt;&lt;wsp:rsid wsp:val=&quot;00E63339&quot;/&gt;&lt;wsp:rsid wsp:val=&quot;00E63430&quot;/&gt;&lt;wsp:rsid wsp:val=&quot;00E63770&quot;/&gt;&lt;wsp:rsid wsp:val=&quot;00E63789&quot;/&gt;&lt;wsp:rsid wsp:val=&quot;00E63F2F&quot;/&gt;&lt;wsp:rsid wsp:val=&quot;00E66C10&quot;/&gt;&lt;wsp:rsid wsp:val=&quot;00E66C36&quot;/&gt;&lt;wsp:rsid wsp:val=&quot;00E67019&quot;/&gt;&lt;wsp:rsid wsp:val=&quot;00E72BA8&quot;/&gt;&lt;wsp:rsid wsp:val=&quot;00E7426F&quot;/&gt;&lt;wsp:rsid wsp:val=&quot;00E74363&quot;/&gt;&lt;wsp:rsid wsp:val=&quot;00E761CB&quot;/&gt;&lt;wsp:rsid wsp:val=&quot;00E762B0&quot;/&gt;&lt;wsp:rsid wsp:val=&quot;00E77C4A&quot;/&gt;&lt;wsp:rsid wsp:val=&quot;00E81CB4&quot;/&gt;&lt;wsp:rsid wsp:val=&quot;00E8287D&quot;/&gt;&lt;wsp:rsid wsp:val=&quot;00E84CAD&quot;/&gt;&lt;wsp:rsid wsp:val=&quot;00E85789&quot;/&gt;&lt;wsp:rsid wsp:val=&quot;00E85976&quot;/&gt;&lt;wsp:rsid wsp:val=&quot;00E86730&quot;/&gt;&lt;wsp:rsid wsp:val=&quot;00E87783&quot;/&gt;&lt;wsp:rsid wsp:val=&quot;00E923D4&quot;/&gt;&lt;wsp:rsid wsp:val=&quot;00E92DD1&quot;/&gt;&lt;wsp:rsid wsp:val=&quot;00E94786&quot;/&gt;&lt;wsp:rsid wsp:val=&quot;00E94BE9&quot;/&gt;&lt;wsp:rsid wsp:val=&quot;00E959FB&quot;/&gt;&lt;wsp:rsid wsp:val=&quot;00E95F7F&quot;/&gt;&lt;wsp:rsid wsp:val=&quot;00EA04B9&quot;/&gt;&lt;wsp:rsid wsp:val=&quot;00EA096C&quot;/&gt;&lt;wsp:rsid wsp:val=&quot;00EA0B4B&quot;/&gt;&lt;wsp:rsid wsp:val=&quot;00EA12C8&quot;/&gt;&lt;wsp:rsid wsp:val=&quot;00EA1B56&quot;/&gt;&lt;wsp:rsid wsp:val=&quot;00EA3348&quot;/&gt;&lt;wsp:rsid wsp:val=&quot;00EA3C12&quot;/&gt;&lt;wsp:rsid wsp:val=&quot;00EA425A&quot;/&gt;&lt;wsp:rsid wsp:val=&quot;00EA42CB&quot;/&gt;&lt;wsp:rsid wsp:val=&quot;00EA7405&quot;/&gt;&lt;wsp:rsid wsp:val=&quot;00EA763C&quot;/&gt;&lt;wsp:rsid wsp:val=&quot;00EA7EC2&quot;/&gt;&lt;wsp:rsid wsp:val=&quot;00EB1A51&quot;/&gt;&lt;wsp:rsid wsp:val=&quot;00EB2B00&quot;/&gt;&lt;wsp:rsid wsp:val=&quot;00EB2B73&quot;/&gt;&lt;wsp:rsid wsp:val=&quot;00EB3779&quot;/&gt;&lt;wsp:rsid wsp:val=&quot;00EC00B1&quot;/&gt;&lt;wsp:rsid wsp:val=&quot;00EC0FD1&quot;/&gt;&lt;wsp:rsid wsp:val=&quot;00EC11E3&quot;/&gt;&lt;wsp:rsid wsp:val=&quot;00EC1698&quot;/&gt;&lt;wsp:rsid wsp:val=&quot;00EC1A1E&quot;/&gt;&lt;wsp:rsid wsp:val=&quot;00EC41D9&quot;/&gt;&lt;wsp:rsid wsp:val=&quot;00EC77B2&quot;/&gt;&lt;wsp:rsid wsp:val=&quot;00ED1D3F&quot;/&gt;&lt;wsp:rsid wsp:val=&quot;00ED3137&quot;/&gt;&lt;wsp:rsid wsp:val=&quot;00ED3FE9&quot;/&gt;&lt;wsp:rsid wsp:val=&quot;00EE1331&quot;/&gt;&lt;wsp:rsid wsp:val=&quot;00EE1D3F&quot;/&gt;&lt;wsp:rsid wsp:val=&quot;00EE277F&quot;/&gt;&lt;wsp:rsid wsp:val=&quot;00EE2CC0&quot;/&gt;&lt;wsp:rsid wsp:val=&quot;00EE3CF5&quot;/&gt;&lt;wsp:rsid wsp:val=&quot;00EE5880&quot;/&gt;&lt;wsp:rsid wsp:val=&quot;00EE6560&quot;/&gt;&lt;wsp:rsid wsp:val=&quot;00EE72A4&quot;/&gt;&lt;wsp:rsid wsp:val=&quot;00EE7559&quot;/&gt;&lt;wsp:rsid wsp:val=&quot;00EF1395&quot;/&gt;&lt;wsp:rsid wsp:val=&quot;00EF146C&quot;/&gt;&lt;wsp:rsid wsp:val=&quot;00EF1639&quot;/&gt;&lt;wsp:rsid wsp:val=&quot;00EF393F&quot;/&gt;&lt;wsp:rsid wsp:val=&quot;00EF4448&quot;/&gt;&lt;wsp:rsid wsp:val=&quot;00EF5B6C&quot;/&gt;&lt;wsp:rsid wsp:val=&quot;00EF6B95&quot;/&gt;&lt;wsp:rsid wsp:val=&quot;00F0030C&quot;/&gt;&lt;wsp:rsid wsp:val=&quot;00F0212E&quot;/&gt;&lt;wsp:rsid wsp:val=&quot;00F02911&quot;/&gt;&lt;wsp:rsid wsp:val=&quot;00F02D12&quot;/&gt;&lt;wsp:rsid wsp:val=&quot;00F046D9&quot;/&gt;&lt;wsp:rsid wsp:val=&quot;00F05A5A&quot;/&gt;&lt;wsp:rsid wsp:val=&quot;00F07241&quot;/&gt;&lt;wsp:rsid wsp:val=&quot;00F07312&quot;/&gt;&lt;wsp:rsid wsp:val=&quot;00F10331&quot;/&gt;&lt;wsp:rsid wsp:val=&quot;00F12CC8&quot;/&gt;&lt;wsp:rsid wsp:val=&quot;00F13AF3&quot;/&gt;&lt;wsp:rsid wsp:val=&quot;00F151E7&quot;/&gt;&lt;wsp:rsid wsp:val=&quot;00F15297&quot;/&gt;&lt;wsp:rsid wsp:val=&quot;00F17105&quot;/&gt;&lt;wsp:rsid wsp:val=&quot;00F171CC&quot;/&gt;&lt;wsp:rsid wsp:val=&quot;00F21B21&quot;/&gt;&lt;wsp:rsid wsp:val=&quot;00F21FFD&quot;/&gt;&lt;wsp:rsid wsp:val=&quot;00F23048&quot;/&gt;&lt;wsp:rsid wsp:val=&quot;00F253A4&quot;/&gt;&lt;wsp:rsid wsp:val=&quot;00F25A74&quot;/&gt;&lt;wsp:rsid wsp:val=&quot;00F266C2&quot;/&gt;&lt;wsp:rsid wsp:val=&quot;00F26A2A&quot;/&gt;&lt;wsp:rsid wsp:val=&quot;00F270F8&quot;/&gt;&lt;wsp:rsid wsp:val=&quot;00F27B67&quot;/&gt;&lt;wsp:rsid wsp:val=&quot;00F30383&quot;/&gt;&lt;wsp:rsid wsp:val=&quot;00F30D93&quot;/&gt;&lt;wsp:rsid wsp:val=&quot;00F315F4&quot;/&gt;&lt;wsp:rsid wsp:val=&quot;00F33A9F&quot;/&gt;&lt;wsp:rsid wsp:val=&quot;00F35E90&quot;/&gt;&lt;wsp:rsid wsp:val=&quot;00F36FDD&quot;/&gt;&lt;wsp:rsid wsp:val=&quot;00F42591&quot;/&gt;&lt;wsp:rsid wsp:val=&quot;00F42ABF&quot;/&gt;&lt;wsp:rsid wsp:val=&quot;00F4315F&quot;/&gt;&lt;wsp:rsid wsp:val=&quot;00F45DC8&quot;/&gt;&lt;wsp:rsid wsp:val=&quot;00F476C1&quot;/&gt;&lt;wsp:rsid wsp:val=&quot;00F50443&quot;/&gt;&lt;wsp:rsid wsp:val=&quot;00F51E27&quot;/&gt;&lt;wsp:rsid wsp:val=&quot;00F52844&quot;/&gt;&lt;wsp:rsid wsp:val=&quot;00F53FED&quot;/&gt;&lt;wsp:rsid wsp:val=&quot;00F55E12&quot;/&gt;&lt;wsp:rsid wsp:val=&quot;00F57F81&quot;/&gt;&lt;wsp:rsid wsp:val=&quot;00F57F90&quot;/&gt;&lt;wsp:rsid wsp:val=&quot;00F6022A&quot;/&gt;&lt;wsp:rsid wsp:val=&quot;00F6147B&quot;/&gt;&lt;wsp:rsid wsp:val=&quot;00F61593&quot;/&gt;&lt;wsp:rsid wsp:val=&quot;00F61B1C&quot;/&gt;&lt;wsp:rsid wsp:val=&quot;00F61D60&quot;/&gt;&lt;wsp:rsid wsp:val=&quot;00F62B7C&quot;/&gt;&lt;wsp:rsid wsp:val=&quot;00F653F8&quot;/&gt;&lt;wsp:rsid wsp:val=&quot;00F66809&quot;/&gt;&lt;wsp:rsid wsp:val=&quot;00F758BF&quot;/&gt;&lt;wsp:rsid wsp:val=&quot;00F76D64&quot;/&gt;&lt;wsp:rsid wsp:val=&quot;00F8012D&quot;/&gt;&lt;wsp:rsid wsp:val=&quot;00F85FB7&quot;/&gt;&lt;wsp:rsid wsp:val=&quot;00F877B2&quot;/&gt;&lt;wsp:rsid wsp:val=&quot;00F87AEF&quot;/&gt;&lt;wsp:rsid wsp:val=&quot;00F87F54&quot;/&gt;&lt;wsp:rsid wsp:val=&quot;00F91AB2&quot;/&gt;&lt;wsp:rsid wsp:val=&quot;00F926CC&quot;/&gt;&lt;wsp:rsid wsp:val=&quot;00F92FDD&quot;/&gt;&lt;wsp:rsid wsp:val=&quot;00F97B3A&quot;/&gt;&lt;wsp:rsid wsp:val=&quot;00FA33B3&quot;/&gt;&lt;wsp:rsid wsp:val=&quot;00FA5EF0&quot;/&gt;&lt;wsp:rsid wsp:val=&quot;00FA6AA7&quot;/&gt;&lt;wsp:rsid wsp:val=&quot;00FA7FC0&quot;/&gt;&lt;wsp:rsid wsp:val=&quot;00FB0023&quot;/&gt;&lt;wsp:rsid wsp:val=&quot;00FB050E&quot;/&gt;&lt;wsp:rsid wsp:val=&quot;00FB103F&quot;/&gt;&lt;wsp:rsid wsp:val=&quot;00FB1932&quot;/&gt;&lt;wsp:rsid wsp:val=&quot;00FB22C8&quot;/&gt;&lt;wsp:rsid wsp:val=&quot;00FB362D&quot;/&gt;&lt;wsp:rsid wsp:val=&quot;00FB4AE3&quot;/&gt;&lt;wsp:rsid wsp:val=&quot;00FB6BB1&quot;/&gt;&lt;wsp:rsid wsp:val=&quot;00FB7E4F&quot;/&gt;&lt;wsp:rsid wsp:val=&quot;00FC1127&quot;/&gt;&lt;wsp:rsid wsp:val=&quot;00FC15BE&quot;/&gt;&lt;wsp:rsid wsp:val=&quot;00FC1C55&quot;/&gt;&lt;wsp:rsid wsp:val=&quot;00FC2716&quot;/&gt;&lt;wsp:rsid wsp:val=&quot;00FC3876&quot;/&gt;&lt;wsp:rsid wsp:val=&quot;00FC4391&quot;/&gt;&lt;wsp:rsid wsp:val=&quot;00FC566D&quot;/&gt;&lt;wsp:rsid wsp:val=&quot;00FC5BAB&quot;/&gt;&lt;wsp:rsid wsp:val=&quot;00FC5D4F&quot;/&gt;&lt;wsp:rsid wsp:val=&quot;00FC5FA5&quot;/&gt;&lt;wsp:rsid wsp:val=&quot;00FD04A8&quot;/&gt;&lt;wsp:rsid wsp:val=&quot;00FD41C1&quot;/&gt;&lt;wsp:rsid wsp:val=&quot;00FD4FBB&quot;/&gt;&lt;wsp:rsid wsp:val=&quot;00FD541F&quot;/&gt;&lt;wsp:rsid wsp:val=&quot;00FD5A2A&quot;/&gt;&lt;wsp:rsid wsp:val=&quot;00FD6BAA&quot;/&gt;&lt;wsp:rsid wsp:val=&quot;00FD6F29&quot;/&gt;&lt;wsp:rsid wsp:val=&quot;00FE4F49&quot;/&gt;&lt;wsp:rsid wsp:val=&quot;00FE53F6&quot;/&gt;&lt;wsp:rsid wsp:val=&quot;00FE6034&quot;/&gt;&lt;wsp:rsid wsp:val=&quot;00FE73FF&quot;/&gt;&lt;wsp:rsid wsp:val=&quot;00FF1A90&quot;/&gt;&lt;wsp:rsid wsp:val=&quot;00FF2D44&quot;/&gt;&lt;wsp:rsid wsp:val=&quot;00FF34E7&quot;/&gt;&lt;wsp:rsid wsp:val=&quot;00FF3B65&quot;/&gt;&lt;wsp:rsid wsp:val=&quot;00FF4A77&quot;/&gt;&lt;wsp:rsid wsp:val=&quot;00FF705C&quot;/&gt;&lt;wsp:rsid wsp:val=&quot;00FF7505&quot;/&gt;&lt;wsp:rsid wsp:val=&quot;10E34571&quot;/&gt;&lt;wsp:rsid wsp:val=&quot;10FA2D5F&quot;/&gt;&lt;wsp:rsid wsp:val=&quot;68523A51&quot;/&gt;&lt;/wsp:rsids&gt;&lt;/w:docPr&gt;&lt;w:body&gt;&lt;wx:sect&gt;&lt;w:p wsp:rsidR=&quot;00000000&quot; wsp:rsidRDefault=&quot;004D4C1D&quot; wsp:rsidP=&quot;004D4C1D&quot;&gt;&lt;m:oMathPara&gt;&lt;m:oMath&gt;&lt;m:r&gt;&lt;w:rPr&gt;&lt;w:rFonts w:ascii=&quot;Cambria Math&quot; w:h-ansi=&quot;Cambria Math&quot;/&gt;&lt;wx:font wx:val=&quot;Cambria Math&quot;/&gt;&lt;w:i/&gt;&lt;w:color w:val=&quot;000000&quot;/&gt;&lt;w:sz w:val=&quot;30&quot;/&gt;&lt;w:sz-cs w:val=&quot;30&quot;/&gt;&lt;/w:rPr&gt;&lt;m:t&gt;??=&lt;/m:t&gt;&lt;/m:r&gt;&lt;m:f&gt;&lt;m:fPr&gt;&lt;m:ctrlPr&gt;&lt;w:rPr&gt;&lt;w:rFonts w:ascii=&quot;Cambria Math&quot; w:h-ansi=&quot;Cambria Math&quot;/&gt;&lt;wx:font wx:val=&quot;Cambria Math&quot;/&gt;&lt;w:i/&gt;&lt;wwwwwwwwwwwwwwwwwww:color w:val=&quot;000000&quot;/&gt;&lt;w:sz w:val=&quot;30&quot;/&gt;&lt;w:sz-cs w:val=&quot;30&quot;/&gt;&lt;/w:rPr&gt;&lt;/m:ctrlPr&gt;&lt;/m:fPr&gt;&lt;m:num&gt;&lt;m:r&gt;&lt;w:rPr&gt;&lt;w:rFonts w:ascii=&quot;Cambria Math&quot; w:h-ansi=&quot;Cambria Math&quot;/&gt;&lt;wx:font wx:val=&quot;Cambria Math&quot;/&gt;&lt;w:i/&gt;&lt;w:color w:val=&quot;000000&quot;/&gt;&lt;w:sz w:val=&quot;30&quot;/&gt;&lt;w:sz-cs w:val=&quot;30&quot;/&gt;&lt;/w:rPr&gt;&lt;m:t&gt;3.6?—&lt;/m:t&gt;&lt;/m:r&gt;&lt;m:sSup&gt;&lt;m:sSupPr&gt;&lt;m:ctrlPr&gt;&lt;w:rPr&gt;&lt;w:rFonts w:ascii=&quot;Cambria Math&quot; w:h-ansi=&quot;Cambria Math&quot;/&gt;&lt;wx:font wx:val=&quot;Cambria Math&quot;/&gt;&lt;w:i/&gt;&lt;w:color w:val=&quot;000000&quot;/&gt;&lt;w:sz w:val=&quot;30&quot;/&gt;&lt;w:sz-cs w:val=&quot;30&quot;:::::::::::::::::::::::::::::::::::::::::::/&gt;v&lt;a/lw=:&quot;r3P0r&quot;&gt;/&lt;&gt;/&lt;mw::cstzr-lcPsr&gt;&lt;/m:sSupPr&gt;&lt;m:e&gt;&lt;m:r&gt;&lt;w:rPr&gt;&lt;w:rFonts w:ascii=&quot;Cambria Math&quot; w:h-ansi=&quot;Cambria Math&quot;/&gt;&lt;wx:font wx:val=&quot;Cambria Math&quot;/&gt;&lt;w:i/&gt;&lt;w:color w:val=&quot;000000&quot;/&gt;&lt;w:sz w:val=&quot;30&quot;/&gt;&lt;w:sz-cs w:val=&quot;30&quot;/&gt;&lt;/w:rPr&gt;&lt;m:t&gt;10&lt;/m:t&gt;&lt;/m:r&gt;&lt;/m:e&gt;&lt;m:sup&gt;&lt;m:r&gt;&lt;w:rPr&gt;&lt;w:rFonts w:ascii=&quot;Cambria Math&quot; w:h-ansi=&quot;Cambria Math&quot;/&gt;&lt;wx:font wx:val=&quot;Cambria Math&quot;/&gt;&lt;w:i/&gt;&lt;w:color w:val=&quot;000000&quot;/&gt;&lt;w:sz w:val=&quot;30&quot;/&gt;&lt;w:sz-cs w:val=&quot;30&quot;/&gt;&lt;/w:rPr&gt;&lt;m:t&gt;6&lt;/m:t&gt;&lt;/m:r&gt;&lt;/m:sup&gt;&lt;/m:sSup&gt;&lt;/m:num&gt;&lt;m:den&gt;&lt;m:r&gt;&lt;w:rPr&gt;&lt;w:rFonts w:ascii=&quot;Cambria Math&quot; w:h-ansi=&quot;Cambria Math&quot;/&gt;&lt;wx:font wx:val=&quot;Cambria Math&quot;/&gt;&lt;w:i/&gt;&lt;w:color w:val=&quot;000000&quot;/&gt;&lt;w:sz w:val=&quot;30&quot;/&gt;&lt;w:sz-cs w:val=&quot;30&quot;/&gt;&lt;/w:rPr&gt;&lt;m:t&gt;ma??Ca??/m:t&gt;&lt;/m:r&gt;&lt;m:sSub&gt;&lt;m:sSubPr&gt;&lt;m:ctrlPr&gt;&lt;w:rPr&gt;&lt;w:rFonts w:ascii=&quot;Cambria Math&quot;w:r wrFo:hont-ats ns w:i=:as&quot;Csciamii=br=&quot;CiaCam Mmbratriah&quot;a M/&gt;Mat&lt;wth&quot;x:&quot; wfow:hn:h-at wx:val=&quot;Cambria Math&quot;/&gt;&lt;w:i/&gt;&lt;w:color w:val=&quot;000000&quot;/&gt;&lt;w:sz w:val=&quot;30&quot;/&gt;&lt;w:sz-cs w:val=&quot;30&quot;/&gt;&lt;/w:rPr&gt;&lt;/m:ctrlPr&gt;&lt;/m:sSubPr&gt;&lt;m:e&gt;&lt;m:r&gt;&lt;w:rPr&gt;&lt;w:rFonts w:ascii=&quot;Cambria Math&quot; w:h-ansi=&quot;Cambria Math&quot;/&gt;&lt;wx:font wx:val=&quot;Cambria Math&quot;/&gt;&lt;w:i/&gt;&lt;w:color w:val=&quot;000000&quot;/&gt;&lt;w:sz w:val=&quot;30&quot;/&gt;&lt;w:sz-cs w:val=&quot;30&quot;/&gt;&lt;/w:rPr&gt;&lt;m:t&gt;U&lt;/m:t&gt;&lt;/m:r&gt;&lt;/m:e&gt;&lt;m:sub&gt;&lt;m:r&gt;&lt;w:rPr&gt;&lt;w:rFonts w:ascii=&quot;Cambria Math&quot; w:h-ansi=&quot;Cambria Math&quot;/&gt;&lt;wx:font wx:val=&quot;Cambria Math&quot;/&gt;&lt;w:i/&gt;&lt;w:color w:val=&quot;000000&quot;/&gt;&lt;w:sz w:val=&quot;30&quot;/&gt;&lt;w:sz-cs w:val=&quot;30&quot;/&gt;&lt;/w:rPr&gt;&lt;m:t&gt;nom&lt;/m:t&gt;&lt;/m:r&gt;&lt;/m:sub&gt;&lt;/m:sSub&gt;&lt;m:r&gt;&lt;w:rPr&gt;&lt;w:rFonts w:ascii=&quot;Cambria Math&quot; w:h-ansi=&quot;Cambria Math&quot;/&gt;&lt;wx:font wx:val=&quot;Cambria Math&quot;/&gt;&lt;w:i/&gt;&lt;w:color w:val=&quot;000000&quot;/&gt;&lt;w:sz w:val=&quot;30&quot;/&gt;&lt;w:sz-cs w:val=&quot;30&quot;/&gt;&lt;/w:rPr&gt;&lt;m:t&gt;a?&quot;?/m:t:&gt;&lt;/m:sr&gt;&lt;m:asSub30&gt;&lt;m:sSubPr&gt;&lt;m:ctrlPr&gt;&lt;w:rPr&gt;&lt;w:rFonts w:ascii=&quot;Cambria Math&quot; w:h-ansi=&quot;Cambria Math&quot;/&gt;&lt;wx:font wx:val=&quot;Cambria Math&quot;/&gt;&lt;w:i/&gt;&lt;w:color w:val=&quot;000000&quot;/&gt;&lt;w:sz w:val=&quot;30&quot;l/&gt;&lt;w:0sz-cs/ w:vasl=&quot;30v&quot;/&gt;&lt;/3w:rPr&lt;&gt;&lt;/m:-ctrlP:r&gt;&lt;/m&quot;:sSub&gt;Pr&gt;&lt;mr:e&gt;&lt;mm:r&gt;&lt;w:rPr&gt;&lt;w:rFonts w:ascii=&quot;Cambria Math&quot; w:h-ansi=&quot;Cambria Math&quot;/&gt;&lt;wx:font wx:val=&quot;Cambria Math&quot;/&gt;&lt;w:i/&gt;&lt;w:color w:val=&quot;000000&quot;/&gt;&lt;w:sz w:val=&quot;30&quot;/&gt;&lt;w:sz-cs w:val=&quot;30&quot;/&gt;&lt;/w:rPr&gt;&lt;m:t&gt;I&lt;/m:t&gt;&lt;/m:r&gt;&lt;/m:e&gt;&lt;m:sub&gt;&lt;m:r&gt;&lt;w:rPr&gt;&lt;w:rFonts w:ascii=&quot;Cambria Math&quot; w:h-ansi=&quot;Cambria Math&quot;/&gt;&lt;wx:font wx:val=&quot;Cambria Math&quot;/&gt;&lt;w:i/&gt;&lt;w:color w:val=&quot;000000&quot;/&gt;&lt;w:sz w:val=&quot;30&quot;/&gt;&lt;w:sz-cs w:val=&quot;30&quot;/&gt;&lt;/w:rPr&gt;&lt;m:t&gt;st&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40" chromakey="#FFFFFF" o:title=""/>
            <o:lock v:ext="edit" aspectratio="t"/>
            <w10:wrap type="none"/>
            <w10:anchorlock/>
          </v:shape>
        </w:pict>
      </w:r>
      <w:r>
        <w:rPr>
          <w:color w:val="000000"/>
          <w:sz w:val="24"/>
          <w:szCs w:val="24"/>
        </w:rPr>
        <w:instrText xml:space="preserve"> </w:instrText>
      </w:r>
      <w:r>
        <w:rPr>
          <w:color w:val="000000"/>
          <w:sz w:val="24"/>
          <w:szCs w:val="24"/>
        </w:rPr>
        <w:fldChar w:fldCharType="end"/>
      </w:r>
      <w:r>
        <w:rPr>
          <w:color w:val="000000"/>
          <w:sz w:val="24"/>
          <w:szCs w:val="24"/>
        </w:rPr>
        <w:t xml:space="preserve">                   (</w:t>
      </w:r>
      <w:r>
        <w:rPr>
          <w:rFonts w:hint="eastAsia"/>
          <w:color w:val="000000"/>
          <w:sz w:val="24"/>
          <w:szCs w:val="24"/>
        </w:rPr>
        <w:t>4</w:t>
      </w:r>
      <w:r>
        <w:rPr>
          <w:color w:val="000000"/>
          <w:sz w:val="24"/>
          <w:szCs w:val="24"/>
        </w:rPr>
        <w:t>)</w:t>
      </w:r>
    </w:p>
    <w:p w14:paraId="23262571">
      <w:pPr>
        <w:adjustRightInd w:val="0"/>
        <w:snapToGrid w:val="0"/>
        <w:spacing w:line="360" w:lineRule="auto"/>
        <w:ind w:firstLine="480" w:firstLineChars="200"/>
        <w:jc w:val="left"/>
        <w:rPr>
          <w:color w:val="000000"/>
          <w:sz w:val="24"/>
          <w:szCs w:val="24"/>
        </w:rPr>
      </w:pPr>
      <w:r>
        <w:rPr>
          <w:rFonts w:hint="eastAsia" w:hAnsi="宋体"/>
          <w:color w:val="000000"/>
          <w:sz w:val="24"/>
          <w:szCs w:val="24"/>
        </w:rPr>
        <w:t>式</w:t>
      </w:r>
      <w:r>
        <w:rPr>
          <w:rFonts w:hAnsi="宋体"/>
          <w:color w:val="000000"/>
          <w:sz w:val="24"/>
          <w:szCs w:val="24"/>
        </w:rPr>
        <w:t>中</w:t>
      </w:r>
      <w:r>
        <w:rPr>
          <w:rFonts w:hint="eastAsia"/>
          <w:color w:val="000000"/>
          <w:sz w:val="24"/>
          <w:szCs w:val="24"/>
        </w:rPr>
        <w:t>：</w:t>
      </w:r>
    </w:p>
    <w:p w14:paraId="097735FF">
      <w:pPr>
        <w:adjustRightInd w:val="0"/>
        <w:snapToGrid w:val="0"/>
        <w:spacing w:line="360" w:lineRule="auto"/>
        <w:ind w:firstLine="420" w:firstLineChars="200"/>
        <w:jc w:val="left"/>
        <w:rPr>
          <w:color w:val="000000"/>
          <w:sz w:val="24"/>
          <w:szCs w:val="24"/>
        </w:rPr>
      </w:pPr>
      <w:r>
        <w:rPr>
          <w:position w:val="-12"/>
        </w:rPr>
        <w:object>
          <v:shape id="_x0000_i1042" o:spt="75" type="#_x0000_t75" style="height:19.15pt;width:13.3pt;" o:ole="t" filled="f" o:preferrelative="t" stroked="f" coordsize="21600,21600">
            <v:path/>
            <v:fill on="f" focussize="0,0"/>
            <v:stroke on="f" joinstyle="miter"/>
            <v:imagedata r:id="rId42" o:title=""/>
            <o:lock v:ext="edit" aspectratio="t"/>
            <w10:wrap type="none"/>
            <w10:anchorlock/>
          </v:shape>
          <o:OLEObject Type="Embed" ProgID="Equation.DSMT4" ShapeID="_x0000_i1042" DrawAspect="Content" ObjectID="_1468075739" r:id="rId41">
            <o:LockedField>false</o:LockedField>
          </o:OLEObject>
        </w:object>
      </w:r>
      <w:r>
        <w:rPr>
          <w:color w:val="767171"/>
          <w:sz w:val="24"/>
          <w:szCs w:val="24"/>
        </w:rPr>
        <w:t>——</w:t>
      </w:r>
      <w:r>
        <w:rPr>
          <w:color w:val="000000"/>
          <w:sz w:val="24"/>
          <w:szCs w:val="24"/>
        </w:rPr>
        <w:t>两个脉冲之间的</w:t>
      </w:r>
      <w:r>
        <w:rPr>
          <w:rFonts w:hint="eastAsia"/>
          <w:color w:val="000000"/>
          <w:sz w:val="24"/>
          <w:szCs w:val="24"/>
        </w:rPr>
        <w:t>间隔</w:t>
      </w:r>
      <w:r>
        <w:rPr>
          <w:color w:val="000000"/>
          <w:sz w:val="24"/>
          <w:szCs w:val="24"/>
        </w:rPr>
        <w:t>时间</w:t>
      </w:r>
      <w:r>
        <w:rPr>
          <w:rFonts w:hint="eastAsia"/>
          <w:color w:val="000000"/>
          <w:sz w:val="24"/>
          <w:szCs w:val="24"/>
        </w:rPr>
        <w:t>，s；</w:t>
      </w:r>
    </w:p>
    <w:p w14:paraId="3D5F383A">
      <w:pPr>
        <w:adjustRightInd w:val="0"/>
        <w:snapToGrid w:val="0"/>
        <w:spacing w:line="360" w:lineRule="auto"/>
        <w:ind w:firstLine="420" w:firstLineChars="200"/>
        <w:jc w:val="left"/>
        <w:rPr>
          <w:color w:val="000000"/>
          <w:sz w:val="24"/>
          <w:szCs w:val="24"/>
        </w:rPr>
      </w:pPr>
      <w:r>
        <w:rPr>
          <w:position w:val="-12"/>
        </w:rPr>
        <w:object>
          <v:shape id="_x0000_i1043" o:spt="75" type="#_x0000_t75" style="height:19.15pt;width:14.55pt;" o:ole="t" filled="f" o:preferrelative="t" stroked="f" coordsize="21600,21600">
            <v:path/>
            <v:fill on="f" focussize="0,0"/>
            <v:stroke on="f" joinstyle="miter"/>
            <v:imagedata r:id="rId44" o:title=""/>
            <o:lock v:ext="edit" aspectratio="t"/>
            <w10:wrap type="none"/>
            <w10:anchorlock/>
          </v:shape>
          <o:OLEObject Type="Embed" ProgID="Equation.DSMT4" ShapeID="_x0000_i1043" DrawAspect="Content" ObjectID="_1468075740" r:id="rId43">
            <o:LockedField>false</o:LockedField>
          </o:OLEObject>
        </w:object>
      </w:r>
      <w:r>
        <w:rPr>
          <w:color w:val="000000"/>
          <w:sz w:val="24"/>
          <w:szCs w:val="24"/>
        </w:rPr>
        <w:t>——在</w:t>
      </w:r>
      <w:r>
        <w:rPr>
          <w:i/>
          <w:iCs/>
          <w:color w:val="000000"/>
          <w:sz w:val="24"/>
          <w:szCs w:val="24"/>
        </w:rPr>
        <w:t>I</w:t>
      </w:r>
      <w:r>
        <w:rPr>
          <w:rFonts w:hint="eastAsia"/>
          <w:color w:val="000000"/>
          <w:sz w:val="24"/>
          <w:szCs w:val="24"/>
          <w:vertAlign w:val="subscript"/>
        </w:rPr>
        <w:t>st</w:t>
      </w:r>
      <w:r>
        <w:rPr>
          <w:color w:val="000000"/>
          <w:sz w:val="24"/>
          <w:szCs w:val="24"/>
        </w:rPr>
        <w:t>时的最大允许误差</w:t>
      </w:r>
      <w:r>
        <w:rPr>
          <w:rFonts w:hint="eastAsia"/>
          <w:color w:val="000000"/>
          <w:sz w:val="24"/>
          <w:szCs w:val="24"/>
        </w:rPr>
        <w:t>的绝对值；</w:t>
      </w:r>
    </w:p>
    <w:p w14:paraId="08FCD294">
      <w:pPr>
        <w:adjustRightInd w:val="0"/>
        <w:snapToGrid w:val="0"/>
        <w:spacing w:line="360" w:lineRule="auto"/>
        <w:ind w:firstLine="480" w:firstLineChars="200"/>
        <w:rPr>
          <w:color w:val="000000"/>
          <w:sz w:val="24"/>
          <w:szCs w:val="24"/>
        </w:rPr>
      </w:pPr>
      <w:r>
        <w:rPr>
          <w:i/>
          <w:color w:val="000000"/>
          <w:sz w:val="24"/>
          <w:szCs w:val="24"/>
        </w:rPr>
        <w:t>C</w:t>
      </w:r>
      <w:r>
        <w:rPr>
          <w:color w:val="767171"/>
          <w:sz w:val="24"/>
          <w:szCs w:val="24"/>
        </w:rPr>
        <w:t>——</w:t>
      </w:r>
      <w:r>
        <w:rPr>
          <w:color w:val="000000"/>
          <w:sz w:val="24"/>
          <w:szCs w:val="24"/>
        </w:rPr>
        <w:t>仪表常数</w:t>
      </w:r>
      <w:r>
        <w:rPr>
          <w:rFonts w:hint="eastAsia"/>
          <w:color w:val="000000"/>
          <w:sz w:val="24"/>
          <w:szCs w:val="24"/>
        </w:rPr>
        <w:t>，单位为</w:t>
      </w:r>
      <w:r>
        <w:rPr>
          <w:color w:val="000000"/>
          <w:sz w:val="24"/>
          <w:szCs w:val="24"/>
        </w:rPr>
        <w:t>imp</w:t>
      </w:r>
      <w:r>
        <w:rPr>
          <w:rFonts w:hint="eastAsia"/>
          <w:color w:val="000000"/>
          <w:sz w:val="24"/>
          <w:szCs w:val="24"/>
        </w:rPr>
        <w:t>/</w:t>
      </w:r>
      <w:r>
        <w:rPr>
          <w:color w:val="000000"/>
          <w:sz w:val="24"/>
          <w:szCs w:val="24"/>
        </w:rPr>
        <w:t>k</w:t>
      </w:r>
      <w:r>
        <w:rPr>
          <w:rFonts w:hint="eastAsia"/>
          <w:color w:val="000000"/>
          <w:sz w:val="24"/>
          <w:szCs w:val="24"/>
        </w:rPr>
        <w:t>W</w:t>
      </w:r>
      <w:r>
        <w:rPr>
          <w:color w:val="000000"/>
          <w:sz w:val="24"/>
          <w:szCs w:val="24"/>
        </w:rPr>
        <w:t>h</w:t>
      </w:r>
      <w:r>
        <w:rPr>
          <w:rFonts w:hint="eastAsia" w:hAnsi="宋体"/>
          <w:color w:val="000000"/>
          <w:sz w:val="24"/>
          <w:szCs w:val="24"/>
        </w:rPr>
        <w:t>。</w:t>
      </w:r>
    </w:p>
    <w:p w14:paraId="66273282">
      <w:pPr>
        <w:tabs>
          <w:tab w:val="left" w:pos="540"/>
        </w:tabs>
        <w:snapToGrid w:val="0"/>
        <w:spacing w:line="360" w:lineRule="auto"/>
        <w:ind w:firstLine="420" w:firstLineChars="200"/>
        <w:rPr>
          <w:color w:val="000000"/>
          <w:sz w:val="24"/>
          <w:szCs w:val="24"/>
        </w:rPr>
      </w:pPr>
      <w:r>
        <w:rPr>
          <w:position w:val="-12"/>
        </w:rPr>
        <w:object>
          <v:shape id="_x0000_i1044" o:spt="75" type="#_x0000_t75" style="height:19.15pt;width:15.8pt;" o:ole="t" filled="f" o:preferrelative="t" stroked="f" coordsize="21600,21600">
            <v:path/>
            <v:fill on="f" focussize="0,0"/>
            <v:stroke on="f" joinstyle="miter"/>
            <v:imagedata r:id="rId46" o:title=""/>
            <o:lock v:ext="edit" aspectratio="t"/>
            <w10:wrap type="none"/>
            <w10:anchorlock/>
          </v:shape>
          <o:OLEObject Type="Embed" ProgID="Equation.DSMT4" ShapeID="_x0000_i1044" DrawAspect="Content" ObjectID="_1468075741" r:id="rId45">
            <o:LockedField>false</o:LockedField>
          </o:OLEObject>
        </w:object>
      </w:r>
      <w:r>
        <w:rPr>
          <w:color w:val="767171"/>
          <w:sz w:val="24"/>
          <w:szCs w:val="24"/>
        </w:rPr>
        <w:t>——</w:t>
      </w:r>
      <w:r>
        <w:rPr>
          <w:rFonts w:hint="eastAsia"/>
          <w:color w:val="000000"/>
          <w:sz w:val="24"/>
          <w:szCs w:val="24"/>
        </w:rPr>
        <w:t>标准功率表或功率源指示的起动功率值（</w:t>
      </w:r>
      <w:r>
        <w:rPr>
          <w:i/>
          <w:iCs/>
        </w:rPr>
        <w:t>U</w:t>
      </w:r>
      <w:r>
        <w:rPr>
          <w:vertAlign w:val="subscript"/>
        </w:rPr>
        <w:t>n</w:t>
      </w:r>
      <w:r>
        <w:rPr>
          <w:rFonts w:hint="eastAsia" w:ascii="宋体" w:hAnsi="宋体"/>
          <w:sz w:val="18"/>
          <w:szCs w:val="16"/>
        </w:rPr>
        <w:t>·</w:t>
      </w:r>
      <w:r>
        <w:rPr>
          <w:i/>
          <w:iCs/>
          <w:color w:val="000000"/>
          <w:sz w:val="24"/>
          <w:szCs w:val="24"/>
        </w:rPr>
        <w:t>I</w:t>
      </w:r>
      <w:r>
        <w:rPr>
          <w:color w:val="000000"/>
          <w:sz w:val="24"/>
          <w:szCs w:val="24"/>
          <w:vertAlign w:val="subscript"/>
        </w:rPr>
        <w:t>st</w:t>
      </w:r>
      <w:r>
        <w:rPr>
          <w:rFonts w:hint="eastAsia"/>
          <w:color w:val="000000"/>
          <w:sz w:val="24"/>
          <w:szCs w:val="24"/>
        </w:rPr>
        <w:t>或</w:t>
      </w:r>
      <w:r>
        <w:rPr>
          <w:i/>
          <w:iCs/>
        </w:rPr>
        <w:t>U</w:t>
      </w:r>
      <w:r>
        <w:rPr>
          <w:vertAlign w:val="subscript"/>
        </w:rPr>
        <w:t>n_</w:t>
      </w:r>
      <w:r>
        <w:rPr>
          <w:rFonts w:hint="eastAsia"/>
          <w:vertAlign w:val="subscript"/>
        </w:rPr>
        <w:t>min</w:t>
      </w:r>
      <w:r>
        <w:rPr>
          <w:rFonts w:hint="eastAsia" w:ascii="宋体" w:hAnsi="宋体"/>
          <w:sz w:val="18"/>
          <w:szCs w:val="16"/>
        </w:rPr>
        <w:t>·</w:t>
      </w:r>
      <w:r>
        <w:rPr>
          <w:i/>
          <w:iCs/>
          <w:color w:val="000000"/>
          <w:sz w:val="24"/>
          <w:szCs w:val="24"/>
        </w:rPr>
        <w:t>I</w:t>
      </w:r>
      <w:r>
        <w:rPr>
          <w:color w:val="000000"/>
          <w:sz w:val="24"/>
          <w:szCs w:val="24"/>
          <w:vertAlign w:val="subscript"/>
        </w:rPr>
        <w:t>st</w:t>
      </w:r>
      <w:r>
        <w:rPr>
          <w:rFonts w:hint="eastAsia"/>
          <w:color w:val="000000"/>
          <w:sz w:val="24"/>
          <w:szCs w:val="24"/>
        </w:rPr>
        <w:t>），W；</w:t>
      </w:r>
    </w:p>
    <w:p w14:paraId="38567AB7">
      <w:pPr>
        <w:tabs>
          <w:tab w:val="left" w:pos="540"/>
        </w:tabs>
        <w:snapToGrid w:val="0"/>
        <w:spacing w:line="360" w:lineRule="auto"/>
        <w:ind w:firstLine="480" w:firstLineChars="200"/>
        <w:rPr>
          <w:color w:val="000000"/>
          <w:sz w:val="24"/>
          <w:szCs w:val="24"/>
        </w:rPr>
      </w:pPr>
      <w:r>
        <w:rPr>
          <w:rFonts w:ascii="宋体" w:hAnsi="宋体"/>
          <w:color w:val="000000"/>
          <w:position w:val="-6"/>
          <w:sz w:val="24"/>
        </w:rPr>
        <w:object>
          <v:shape id="_x0000_i1045" o:spt="75" type="#_x0000_t75" style="height:17.5pt;width:17.5pt;" o:ole="t" filled="f" o:preferrelative="t" stroked="f" coordsize="21600,21600">
            <v:path/>
            <v:fill on="f" focussize="0,0"/>
            <v:stroke on="f" joinstyle="miter"/>
            <v:imagedata r:id="rId48" o:title=""/>
            <o:lock v:ext="edit" aspectratio="t"/>
            <w10:wrap type="none"/>
            <w10:anchorlock/>
          </v:shape>
          <o:OLEObject Type="Embed" ProgID="Equation.3" ShapeID="_x0000_i1045" DrawAspect="Content" ObjectID="_1468075742" r:id="rId47">
            <o:LockedField>false</o:LockedField>
          </o:OLEObject>
        </w:object>
      </w:r>
      <w:r>
        <w:rPr>
          <w:rFonts w:hint="eastAsia" w:ascii="宋体" w:hAnsi="宋体"/>
          <w:color w:val="000000"/>
          <w:position w:val="-6"/>
          <w:sz w:val="24"/>
        </w:rPr>
        <w:t>、</w:t>
      </w:r>
      <w:r>
        <w:rPr>
          <w:rFonts w:ascii="宋体" w:hAnsi="宋体"/>
          <w:color w:val="000000"/>
          <w:position w:val="-6"/>
          <w:sz w:val="24"/>
        </w:rPr>
        <w:object>
          <v:shape id="_x0000_i1046" o:spt="75" type="#_x0000_t75" style="height:17.5pt;width:20.4pt;" o:ole="t" filled="f" o:preferrelative="t" stroked="f" coordsize="21600,21600">
            <v:path/>
            <v:fill on="f" focussize="0,0"/>
            <v:stroke on="f" joinstyle="miter"/>
            <v:imagedata r:id="rId50" o:title=""/>
            <o:lock v:ext="edit" aspectratio="t"/>
            <w10:wrap type="none"/>
            <w10:anchorlock/>
          </v:shape>
          <o:OLEObject Type="Embed" ProgID="Equation.3" ShapeID="_x0000_i1046" DrawAspect="Content" ObjectID="_1468075743" r:id="rId49">
            <o:LockedField>false</o:LockedField>
          </o:OLEObject>
        </w:object>
      </w:r>
      <w:r>
        <w:rPr>
          <w:rFonts w:hint="eastAsia" w:ascii="宋体" w:hAnsi="宋体"/>
          <w:color w:val="000000"/>
          <w:position w:val="-6"/>
          <w:sz w:val="24"/>
        </w:rPr>
        <w:t>——标准电能表外接的电流、电压互感器变比。当没有外接电流、电压互感器时，</w:t>
      </w:r>
      <w:r>
        <w:rPr>
          <w:rFonts w:ascii="宋体" w:hAnsi="宋体"/>
          <w:color w:val="000000"/>
          <w:position w:val="-10"/>
          <w:sz w:val="24"/>
        </w:rPr>
        <w:object>
          <v:shape id="_x0000_i1047" o:spt="75" type="#_x0000_t75" style="height:17.5pt;width:17.5pt;" o:ole="t" filled="f" o:preferrelative="t" stroked="f" coordsize="21600,21600">
            <v:path/>
            <v:fill on="f" focussize="0,0"/>
            <v:stroke on="f" joinstyle="miter"/>
            <v:imagedata r:id="rId52" o:title=""/>
            <o:lock v:ext="edit" aspectratio="t"/>
            <w10:wrap type="none"/>
            <w10:anchorlock/>
          </v:shape>
          <o:OLEObject Type="Embed" ProgID="Equation.3" ShapeID="_x0000_i1047" DrawAspect="Content" ObjectID="_1468075744" r:id="rId51">
            <o:LockedField>false</o:LockedField>
          </o:OLEObject>
        </w:object>
      </w:r>
      <w:r>
        <w:rPr>
          <w:rFonts w:hint="eastAsia" w:ascii="宋体" w:hAnsi="宋体"/>
          <w:color w:val="000000"/>
          <w:sz w:val="24"/>
        </w:rPr>
        <w:t>和</w:t>
      </w:r>
      <w:r>
        <w:rPr>
          <w:rFonts w:ascii="宋体" w:hAnsi="宋体"/>
          <w:color w:val="000000"/>
          <w:position w:val="-12"/>
          <w:sz w:val="24"/>
        </w:rPr>
        <w:object>
          <v:shape id="_x0000_i1048" o:spt="75" type="#_x0000_t75" style="height:17.5pt;width:20.4pt;" o:ole="t" filled="f" o:preferrelative="t" stroked="f" coordsize="21600,21600">
            <v:path/>
            <v:fill on="f" focussize="0,0"/>
            <v:stroke on="f" joinstyle="miter"/>
            <v:imagedata r:id="rId54" o:title=""/>
            <o:lock v:ext="edit" aspectratio="t"/>
            <w10:wrap type="none"/>
            <w10:anchorlock/>
          </v:shape>
          <o:OLEObject Type="Embed" ProgID="Equation.3" ShapeID="_x0000_i1048" DrawAspect="Content" ObjectID="_1468075745" r:id="rId53">
            <o:LockedField>false</o:LockedField>
          </o:OLEObject>
        </w:object>
      </w:r>
      <w:r>
        <w:rPr>
          <w:rFonts w:hint="eastAsia" w:ascii="宋体" w:hAnsi="宋体"/>
          <w:color w:val="000000"/>
          <w:sz w:val="24"/>
        </w:rPr>
        <w:t>都等于1。</w:t>
      </w:r>
    </w:p>
    <w:p w14:paraId="5667CF65">
      <w:pPr>
        <w:adjustRightInd w:val="0"/>
        <w:snapToGrid w:val="0"/>
        <w:spacing w:line="360" w:lineRule="auto"/>
        <w:ind w:firstLine="480" w:firstLineChars="200"/>
        <w:rPr>
          <w:color w:val="000000"/>
          <w:sz w:val="24"/>
          <w:szCs w:val="24"/>
        </w:rPr>
      </w:pPr>
      <w:r>
        <w:rPr>
          <w:rFonts w:hint="eastAsia" w:ascii="宋体" w:hAnsi="宋体"/>
          <w:color w:val="000000"/>
          <w:sz w:val="24"/>
          <w:szCs w:val="24"/>
        </w:rPr>
        <w:t>在进行本试验时，若需进行</w:t>
      </w:r>
      <w:r>
        <w:rPr>
          <w:rFonts w:ascii="宋体" w:hAnsi="宋体"/>
          <w:color w:val="000000"/>
          <w:sz w:val="24"/>
          <w:szCs w:val="24"/>
        </w:rPr>
        <w:t>双向电能测量</w:t>
      </w:r>
      <w:r>
        <w:rPr>
          <w:rFonts w:hint="eastAsia" w:ascii="宋体" w:hAnsi="宋体"/>
          <w:color w:val="000000"/>
          <w:sz w:val="24"/>
          <w:szCs w:val="24"/>
        </w:rPr>
        <w:t>时</w:t>
      </w:r>
      <w:r>
        <w:rPr>
          <w:rFonts w:ascii="宋体" w:hAnsi="宋体"/>
          <w:color w:val="000000"/>
          <w:sz w:val="24"/>
          <w:szCs w:val="24"/>
        </w:rPr>
        <w:t>，</w:t>
      </w:r>
      <w:r>
        <w:rPr>
          <w:rFonts w:hint="eastAsia" w:ascii="宋体" w:hAnsi="宋体"/>
          <w:color w:val="000000"/>
          <w:sz w:val="24"/>
          <w:szCs w:val="24"/>
        </w:rPr>
        <w:t>需要考虑电能方向反向后，测量延时的影响。</w:t>
      </w:r>
    </w:p>
    <w:p w14:paraId="40D26ADC">
      <w:pPr>
        <w:pStyle w:val="43"/>
        <w:numPr>
          <w:ilvl w:val="0"/>
          <w:numId w:val="0"/>
        </w:numPr>
        <w:spacing w:line="360" w:lineRule="auto"/>
        <w:rPr>
          <w:rFonts w:eastAsia="宋体" w:cs="Times New Roman"/>
        </w:rPr>
      </w:pPr>
      <w:r>
        <w:rPr>
          <w:rFonts w:eastAsia="宋体" w:cs="Times New Roman"/>
        </w:rPr>
        <w:t>7.4.6</w:t>
      </w:r>
      <w:r>
        <w:rPr>
          <w:rFonts w:hint="eastAsia" w:eastAsia="宋体" w:cs="Times New Roman"/>
        </w:rPr>
        <w:t xml:space="preserve">  </w:t>
      </w:r>
      <w:r>
        <w:rPr>
          <w:rFonts w:eastAsia="宋体" w:cs="Times New Roman"/>
        </w:rPr>
        <w:t>基本误差检定</w:t>
      </w:r>
    </w:p>
    <w:p w14:paraId="0A07C5E1">
      <w:pPr>
        <w:pStyle w:val="50"/>
        <w:spacing w:line="360" w:lineRule="auto"/>
        <w:ind w:firstLine="480"/>
        <w:rPr>
          <w:rFonts w:ascii="Times New Roman"/>
          <w:sz w:val="24"/>
          <w:szCs w:val="24"/>
        </w:rPr>
      </w:pPr>
      <w:r>
        <w:rPr>
          <w:rFonts w:hint="eastAsia" w:ascii="Times New Roman"/>
          <w:sz w:val="24"/>
          <w:szCs w:val="24"/>
        </w:rPr>
        <w:t>按照附录 A 检定接线图接线。</w:t>
      </w:r>
    </w:p>
    <w:p w14:paraId="18CD519F">
      <w:pPr>
        <w:pStyle w:val="50"/>
        <w:spacing w:line="360" w:lineRule="auto"/>
        <w:ind w:firstLine="480"/>
        <w:rPr>
          <w:rFonts w:ascii="Times New Roman"/>
          <w:sz w:val="24"/>
          <w:szCs w:val="24"/>
        </w:rPr>
      </w:pPr>
      <w:r>
        <w:rPr>
          <w:rFonts w:ascii="Times New Roman"/>
          <w:sz w:val="24"/>
          <w:szCs w:val="24"/>
        </w:rPr>
        <w:t>电压电路施加标称电压，若仪表具有多个标称电压值，应分别在每个标称电压下试验</w:t>
      </w:r>
      <w:r>
        <w:rPr>
          <w:rFonts w:hint="eastAsia" w:ascii="Times New Roman"/>
          <w:sz w:val="24"/>
          <w:szCs w:val="24"/>
        </w:rPr>
        <w:t>。</w:t>
      </w:r>
      <w:r>
        <w:rPr>
          <w:rFonts w:ascii="Times New Roman"/>
          <w:sz w:val="24"/>
          <w:szCs w:val="24"/>
        </w:rPr>
        <w:t>若仪表具有标称电压范围，应在标称电压范围内选择不少于3个试验点进行试验，且试验点应包含</w:t>
      </w:r>
      <w:r>
        <w:rPr>
          <w:rFonts w:ascii="Times New Roman"/>
          <w:i/>
          <w:iCs/>
          <w:sz w:val="24"/>
          <w:szCs w:val="24"/>
        </w:rPr>
        <w:t>U</w:t>
      </w:r>
      <w:r>
        <w:rPr>
          <w:rFonts w:ascii="Times New Roman"/>
          <w:sz w:val="24"/>
          <w:szCs w:val="24"/>
          <w:vertAlign w:val="subscript"/>
        </w:rPr>
        <w:t>n_min</w:t>
      </w:r>
      <w:r>
        <w:rPr>
          <w:rFonts w:ascii="Times New Roman"/>
          <w:sz w:val="24"/>
          <w:szCs w:val="24"/>
        </w:rPr>
        <w:t>（最小标称电压）和</w:t>
      </w:r>
      <w:r>
        <w:rPr>
          <w:rFonts w:ascii="Times New Roman"/>
          <w:i/>
          <w:iCs/>
          <w:sz w:val="24"/>
          <w:szCs w:val="24"/>
        </w:rPr>
        <w:t>U</w:t>
      </w:r>
      <w:r>
        <w:rPr>
          <w:rFonts w:ascii="Times New Roman"/>
          <w:sz w:val="24"/>
          <w:szCs w:val="24"/>
          <w:vertAlign w:val="subscript"/>
        </w:rPr>
        <w:t>n_max</w:t>
      </w:r>
      <w:r>
        <w:rPr>
          <w:rFonts w:ascii="Times New Roman"/>
          <w:sz w:val="24"/>
          <w:szCs w:val="24"/>
        </w:rPr>
        <w:t>（最大标称电压）</w:t>
      </w:r>
      <w:r>
        <w:rPr>
          <w:rFonts w:hint="eastAsia" w:ascii="Times New Roman"/>
          <w:sz w:val="24"/>
          <w:szCs w:val="24"/>
        </w:rPr>
        <w:t>。</w:t>
      </w:r>
      <w:r>
        <w:rPr>
          <w:sz w:val="24"/>
        </w:rPr>
        <w:t>有独立电源的应同时通以额定的独立电源电压，电流线路通参比电流</w:t>
      </w:r>
      <w:r>
        <w:rPr>
          <w:rFonts w:hint="eastAsia"/>
          <w:sz w:val="24"/>
        </w:rPr>
        <w:t>。</w:t>
      </w:r>
      <w:r>
        <w:rPr>
          <w:rFonts w:hint="eastAsia"/>
          <w:sz w:val="24"/>
          <w:szCs w:val="24"/>
        </w:rPr>
        <w:t xml:space="preserve">通电预热时间达到 </w:t>
      </w:r>
      <w:r>
        <w:rPr>
          <w:rFonts w:ascii="Times New Roman"/>
          <w:sz w:val="24"/>
          <w:szCs w:val="24"/>
        </w:rPr>
        <w:t>7.2.1</w:t>
      </w:r>
      <w:r>
        <w:rPr>
          <w:rFonts w:hint="eastAsia" w:ascii="Times New Roman"/>
          <w:sz w:val="24"/>
          <w:szCs w:val="24"/>
        </w:rPr>
        <w:t xml:space="preserve"> </w:t>
      </w:r>
      <w:r>
        <w:rPr>
          <w:rFonts w:ascii="Times New Roman"/>
          <w:sz w:val="24"/>
          <w:szCs w:val="24"/>
        </w:rPr>
        <w:t>b）</w:t>
      </w:r>
      <w:r>
        <w:rPr>
          <w:rFonts w:hint="eastAsia"/>
          <w:sz w:val="24"/>
          <w:szCs w:val="24"/>
        </w:rPr>
        <w:t>规定时，按负载电流逐次减小的顺序测量工作误差，中间过程不再预热。</w:t>
      </w:r>
    </w:p>
    <w:p w14:paraId="17C11236">
      <w:pPr>
        <w:pStyle w:val="5"/>
        <w:numPr>
          <w:ilvl w:val="0"/>
          <w:numId w:val="0"/>
        </w:numPr>
        <w:snapToGrid w:val="0"/>
        <w:spacing w:before="0" w:after="0" w:line="360" w:lineRule="auto"/>
        <w:rPr>
          <w:rFonts w:ascii="Times New Roman" w:hAnsi="Times New Roman" w:eastAsia="宋体"/>
        </w:rPr>
      </w:pPr>
      <w:r>
        <w:rPr>
          <w:rFonts w:ascii="Times New Roman" w:hAnsi="Times New Roman" w:eastAsia="宋体"/>
        </w:rPr>
        <w:t>7.4.6.1</w:t>
      </w:r>
      <w:r>
        <w:rPr>
          <w:rFonts w:hint="eastAsia" w:ascii="Times New Roman" w:hAnsi="Times New Roman" w:eastAsia="宋体"/>
        </w:rPr>
        <w:t xml:space="preserve">  检</w:t>
      </w:r>
      <w:r>
        <w:rPr>
          <w:rFonts w:ascii="Times New Roman" w:hAnsi="Times New Roman" w:eastAsia="宋体"/>
        </w:rPr>
        <w:t>定的负载点</w:t>
      </w:r>
    </w:p>
    <w:p w14:paraId="64E4661A">
      <w:pPr>
        <w:pStyle w:val="50"/>
        <w:spacing w:line="360" w:lineRule="auto"/>
        <w:ind w:firstLine="480"/>
        <w:rPr>
          <w:sz w:val="24"/>
        </w:rPr>
      </w:pPr>
      <w:r>
        <w:rPr>
          <w:rFonts w:ascii="Times New Roman"/>
          <w:sz w:val="24"/>
        </w:rPr>
        <w:t>通常按表</w:t>
      </w:r>
      <w:r>
        <w:rPr>
          <w:rFonts w:hint="eastAsia" w:ascii="Times New Roman"/>
          <w:sz w:val="24"/>
        </w:rPr>
        <w:t xml:space="preserve"> 9 </w:t>
      </w:r>
      <w:r>
        <w:rPr>
          <w:rFonts w:ascii="Times New Roman"/>
          <w:sz w:val="24"/>
        </w:rPr>
        <w:t>规定</w:t>
      </w:r>
      <w:r>
        <w:rPr>
          <w:rFonts w:hint="eastAsia"/>
          <w:sz w:val="24"/>
        </w:rPr>
        <w:t>的检</w:t>
      </w:r>
      <w:r>
        <w:rPr>
          <w:sz w:val="24"/>
        </w:rPr>
        <w:t>定负载点。根据需要，允许增加误差测量点。</w:t>
      </w:r>
    </w:p>
    <w:p w14:paraId="328B589B">
      <w:pPr>
        <w:jc w:val="center"/>
        <w:rPr>
          <w:rFonts w:hint="eastAsia" w:ascii="黑体" w:hAnsi="宋体" w:eastAsia="黑体"/>
          <w:b/>
        </w:rPr>
      </w:pPr>
      <w:r>
        <w:rPr>
          <w:rFonts w:hint="eastAsia" w:ascii="黑体" w:hAnsi="宋体" w:eastAsia="黑体"/>
          <w:b/>
        </w:rPr>
        <w:t>表</w:t>
      </w:r>
      <w:r>
        <w:rPr>
          <w:rFonts w:hint="eastAsia" w:eastAsia="黑体"/>
          <w:b/>
        </w:rPr>
        <w:t>9</w:t>
      </w:r>
      <w:r>
        <w:rPr>
          <w:rFonts w:hint="eastAsia" w:ascii="黑体" w:hAnsi="宋体" w:eastAsia="黑体"/>
          <w:b/>
        </w:rPr>
        <w:t xml:space="preserve">  基本误差检定时应调定的负载点</w:t>
      </w:r>
    </w:p>
    <w:tbl>
      <w:tblPr>
        <w:tblStyle w:val="33"/>
        <w:tblW w:w="929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3954"/>
        <w:gridCol w:w="5345"/>
      </w:tblGrid>
      <w:tr w14:paraId="04918CC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519" w:hRule="atLeast"/>
          <w:jc w:val="center"/>
        </w:trPr>
        <w:tc>
          <w:tcPr>
            <w:tcW w:w="3954" w:type="dxa"/>
            <w:tcBorders>
              <w:top w:val="single" w:color="auto" w:sz="12" w:space="0"/>
              <w:left w:val="single" w:color="auto" w:sz="12" w:space="0"/>
              <w:bottom w:val="single" w:color="auto" w:sz="2" w:space="0"/>
            </w:tcBorders>
            <w:vAlign w:val="center"/>
          </w:tcPr>
          <w:p w14:paraId="07FEF112">
            <w:pPr>
              <w:jc w:val="center"/>
            </w:pPr>
            <w:r>
              <w:rPr>
                <w:rFonts w:hint="eastAsia" w:hAnsi="宋体"/>
              </w:rPr>
              <w:t>负载电压</w:t>
            </w:r>
          </w:p>
        </w:tc>
        <w:tc>
          <w:tcPr>
            <w:tcW w:w="5345" w:type="dxa"/>
            <w:tcBorders>
              <w:top w:val="single" w:color="auto" w:sz="12" w:space="0"/>
              <w:bottom w:val="single" w:color="auto" w:sz="2" w:space="0"/>
              <w:right w:val="single" w:color="auto" w:sz="12" w:space="0"/>
            </w:tcBorders>
            <w:vAlign w:val="center"/>
          </w:tcPr>
          <w:p w14:paraId="5A72E394">
            <w:pPr>
              <w:ind w:left="492"/>
              <w:jc w:val="center"/>
            </w:pPr>
            <w:r>
              <w:rPr>
                <w:rFonts w:hint="eastAsia" w:hAnsi="宋体"/>
              </w:rPr>
              <w:t>负载</w:t>
            </w:r>
            <w:r>
              <w:rPr>
                <w:rFonts w:hAnsi="宋体"/>
              </w:rPr>
              <w:t>电流</w:t>
            </w:r>
          </w:p>
        </w:tc>
      </w:tr>
      <w:tr w14:paraId="72AC08F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64" w:hRule="atLeast"/>
          <w:jc w:val="center"/>
        </w:trPr>
        <w:tc>
          <w:tcPr>
            <w:tcW w:w="3954" w:type="dxa"/>
            <w:tcBorders>
              <w:top w:val="single" w:color="auto" w:sz="2" w:space="0"/>
              <w:left w:val="single" w:color="auto" w:sz="12" w:space="0"/>
              <w:bottom w:val="single" w:color="auto" w:sz="4" w:space="0"/>
            </w:tcBorders>
            <w:vAlign w:val="center"/>
          </w:tcPr>
          <w:p w14:paraId="3D2A90E9">
            <w:pPr>
              <w:jc w:val="center"/>
              <w:rPr>
                <w:shd w:val="pct15" w:color="auto" w:fill="FFFFFF"/>
              </w:rPr>
            </w:pPr>
            <w:r>
              <w:rPr>
                <w:i/>
                <w:iCs/>
              </w:rPr>
              <w:t>U</w:t>
            </w:r>
            <w:r>
              <w:rPr>
                <w:vertAlign w:val="subscript"/>
              </w:rPr>
              <w:t>n</w:t>
            </w:r>
          </w:p>
        </w:tc>
        <w:tc>
          <w:tcPr>
            <w:tcW w:w="5345" w:type="dxa"/>
            <w:vMerge w:val="restart"/>
            <w:tcBorders>
              <w:top w:val="single" w:color="auto" w:sz="2" w:space="0"/>
              <w:right w:val="single" w:color="auto" w:sz="12" w:space="0"/>
            </w:tcBorders>
            <w:vAlign w:val="center"/>
          </w:tcPr>
          <w:p w14:paraId="250602F4">
            <w:pPr>
              <w:jc w:val="center"/>
              <w:rPr>
                <w:shd w:val="pct15" w:color="auto" w:fill="FFFFFF"/>
              </w:rPr>
            </w:pPr>
            <w:r>
              <w:rPr>
                <w:i/>
                <w:szCs w:val="24"/>
              </w:rPr>
              <w:t>I</w:t>
            </w:r>
            <w:r>
              <w:rPr>
                <w:szCs w:val="21"/>
                <w:vertAlign w:val="subscript"/>
              </w:rPr>
              <w:t>max</w:t>
            </w:r>
            <w:r>
              <w:rPr>
                <w:rFonts w:hint="eastAsia"/>
                <w:szCs w:val="24"/>
              </w:rPr>
              <w:t>，</w:t>
            </w:r>
            <w:r>
              <w:rPr>
                <w:rFonts w:hint="eastAsia" w:ascii="宋体"/>
                <w:szCs w:val="24"/>
              </w:rPr>
              <w:t>(</w:t>
            </w:r>
            <w:r>
              <w:rPr>
                <w:szCs w:val="24"/>
              </w:rPr>
              <w:t>0.5</w:t>
            </w:r>
            <w:r>
              <w:rPr>
                <w:i/>
                <w:szCs w:val="24"/>
              </w:rPr>
              <w:t>I</w:t>
            </w:r>
            <w:r>
              <w:rPr>
                <w:szCs w:val="21"/>
                <w:vertAlign w:val="subscript"/>
              </w:rPr>
              <w:t>max</w:t>
            </w:r>
            <w:r>
              <w:rPr>
                <w:rFonts w:hint="eastAsia" w:ascii="宋体"/>
                <w:szCs w:val="21"/>
              </w:rPr>
              <w:t>)</w:t>
            </w:r>
            <w:r>
              <w:rPr>
                <w:rFonts w:hint="eastAsia"/>
                <w:szCs w:val="21"/>
                <w:vertAlign w:val="superscript"/>
              </w:rPr>
              <w:t xml:space="preserve"> ①</w:t>
            </w:r>
            <w:r>
              <w:rPr>
                <w:rFonts w:hint="eastAsia"/>
                <w:szCs w:val="24"/>
              </w:rPr>
              <w:t xml:space="preserve">， </w:t>
            </w:r>
            <w:r>
              <w:rPr>
                <w:i/>
                <w:szCs w:val="24"/>
              </w:rPr>
              <w:t>I</w:t>
            </w:r>
            <w:r>
              <w:rPr>
                <w:iCs/>
                <w:szCs w:val="24"/>
                <w:vertAlign w:val="subscript"/>
              </w:rPr>
              <w:t>n</w:t>
            </w:r>
            <w:r>
              <w:rPr>
                <w:rFonts w:hint="eastAsia"/>
                <w:szCs w:val="24"/>
              </w:rPr>
              <w:t>，0.1</w:t>
            </w:r>
            <w:r>
              <w:rPr>
                <w:i/>
                <w:szCs w:val="24"/>
              </w:rPr>
              <w:t>I</w:t>
            </w:r>
            <w:r>
              <w:rPr>
                <w:rFonts w:hint="eastAsia"/>
                <w:szCs w:val="21"/>
                <w:vertAlign w:val="subscript"/>
              </w:rPr>
              <w:t>n</w:t>
            </w:r>
            <w:r>
              <w:rPr>
                <w:rFonts w:hint="eastAsia"/>
                <w:szCs w:val="21"/>
              </w:rPr>
              <w:t>（0.05</w:t>
            </w:r>
            <w:r>
              <w:rPr>
                <w:i/>
                <w:szCs w:val="24"/>
              </w:rPr>
              <w:t xml:space="preserve"> I</w:t>
            </w:r>
            <w:r>
              <w:rPr>
                <w:rFonts w:hint="eastAsia"/>
                <w:szCs w:val="21"/>
                <w:vertAlign w:val="subscript"/>
              </w:rPr>
              <w:t>n</w:t>
            </w:r>
            <w:r>
              <w:rPr>
                <w:rFonts w:hint="eastAsia"/>
                <w:szCs w:val="21"/>
              </w:rPr>
              <w:t>）</w:t>
            </w:r>
            <w:r>
              <w:rPr>
                <w:rFonts w:hint="eastAsia" w:ascii="宋体" w:hAnsi="宋体"/>
                <w:szCs w:val="21"/>
                <w:vertAlign w:val="superscript"/>
              </w:rPr>
              <w:t>③</w:t>
            </w:r>
            <w:r>
              <w:rPr>
                <w:rFonts w:hint="eastAsia"/>
                <w:szCs w:val="24"/>
              </w:rPr>
              <w:t>，</w:t>
            </w:r>
            <w:r>
              <w:rPr>
                <w:i/>
                <w:szCs w:val="24"/>
              </w:rPr>
              <w:t>I</w:t>
            </w:r>
            <w:r>
              <w:rPr>
                <w:szCs w:val="21"/>
                <w:vertAlign w:val="subscript"/>
              </w:rPr>
              <w:t>min</w:t>
            </w:r>
          </w:p>
        </w:tc>
      </w:tr>
      <w:tr w14:paraId="5EFD982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24" w:hRule="atLeast"/>
          <w:jc w:val="center"/>
        </w:trPr>
        <w:tc>
          <w:tcPr>
            <w:tcW w:w="3954" w:type="dxa"/>
            <w:tcBorders>
              <w:top w:val="single" w:color="auto" w:sz="4" w:space="0"/>
              <w:left w:val="single" w:color="auto" w:sz="12" w:space="0"/>
            </w:tcBorders>
            <w:vAlign w:val="center"/>
          </w:tcPr>
          <w:p w14:paraId="399B4A57">
            <w:pPr>
              <w:jc w:val="center"/>
              <w:rPr>
                <w:i/>
                <w:iCs/>
              </w:rPr>
            </w:pPr>
            <w:r>
              <w:rPr>
                <w:rFonts w:hint="eastAsia"/>
                <w:i/>
                <w:iCs/>
              </w:rPr>
              <w:t>U</w:t>
            </w:r>
            <w:r>
              <w:rPr>
                <w:rFonts w:hint="eastAsia"/>
                <w:vertAlign w:val="subscript"/>
              </w:rPr>
              <w:t>n</w:t>
            </w:r>
            <w:r>
              <w:rPr>
                <w:vertAlign w:val="subscript"/>
              </w:rPr>
              <w:t>_min</w:t>
            </w:r>
            <w:r>
              <w:rPr>
                <w:rFonts w:hint="eastAsia" w:ascii="宋体" w:hAnsi="宋体"/>
                <w:szCs w:val="21"/>
                <w:vertAlign w:val="superscript"/>
              </w:rPr>
              <w:t>②</w:t>
            </w:r>
            <w:r>
              <w:rPr>
                <w:rFonts w:hint="eastAsia"/>
              </w:rPr>
              <w:t>、(</w:t>
            </w:r>
            <w:r>
              <w:rPr>
                <w:rFonts w:hint="eastAsia"/>
                <w:i/>
                <w:iCs/>
              </w:rPr>
              <w:t>U</w:t>
            </w:r>
            <w:r>
              <w:rPr>
                <w:rFonts w:hint="eastAsia"/>
                <w:vertAlign w:val="subscript"/>
              </w:rPr>
              <w:t>n</w:t>
            </w:r>
            <w:r>
              <w:rPr>
                <w:vertAlign w:val="subscript"/>
              </w:rPr>
              <w:t>_min</w:t>
            </w:r>
            <w:r>
              <w:rPr>
                <w:rFonts w:hint="eastAsia"/>
              </w:rPr>
              <w:t>+</w:t>
            </w:r>
            <w:r>
              <w:rPr>
                <w:rFonts w:hint="eastAsia"/>
                <w:i/>
                <w:iCs/>
              </w:rPr>
              <w:t xml:space="preserve"> U</w:t>
            </w:r>
            <w:r>
              <w:rPr>
                <w:vertAlign w:val="subscript"/>
              </w:rPr>
              <w:t>n_max</w:t>
            </w:r>
            <w:r>
              <w:rPr>
                <w:rFonts w:hint="eastAsia"/>
              </w:rPr>
              <w:t>)/2</w:t>
            </w:r>
            <w:r>
              <w:rPr>
                <w:rFonts w:hint="eastAsia" w:ascii="宋体" w:hAnsi="宋体"/>
                <w:szCs w:val="21"/>
                <w:vertAlign w:val="superscript"/>
              </w:rPr>
              <w:t>②</w:t>
            </w:r>
            <w:r>
              <w:rPr>
                <w:rFonts w:hint="eastAsia"/>
              </w:rPr>
              <w:t>、</w:t>
            </w:r>
            <w:r>
              <w:rPr>
                <w:rFonts w:hint="eastAsia"/>
                <w:i/>
                <w:iCs/>
              </w:rPr>
              <w:t>U</w:t>
            </w:r>
            <w:r>
              <w:rPr>
                <w:vertAlign w:val="subscript"/>
              </w:rPr>
              <w:t>n_max</w:t>
            </w:r>
            <w:r>
              <w:rPr>
                <w:rFonts w:hint="eastAsia" w:ascii="宋体" w:hAnsi="宋体"/>
                <w:szCs w:val="21"/>
                <w:vertAlign w:val="superscript"/>
              </w:rPr>
              <w:t>②</w:t>
            </w:r>
          </w:p>
        </w:tc>
        <w:tc>
          <w:tcPr>
            <w:tcW w:w="5345" w:type="dxa"/>
            <w:vMerge w:val="continue"/>
            <w:tcBorders>
              <w:right w:val="single" w:color="auto" w:sz="12" w:space="0"/>
            </w:tcBorders>
            <w:vAlign w:val="center"/>
          </w:tcPr>
          <w:p w14:paraId="157FB2DD">
            <w:pPr>
              <w:jc w:val="center"/>
              <w:rPr>
                <w:i/>
                <w:szCs w:val="24"/>
              </w:rPr>
            </w:pPr>
          </w:p>
        </w:tc>
      </w:tr>
      <w:tr w14:paraId="4E39535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21" w:hRule="atLeast"/>
          <w:jc w:val="center"/>
        </w:trPr>
        <w:tc>
          <w:tcPr>
            <w:tcW w:w="9299" w:type="dxa"/>
            <w:gridSpan w:val="2"/>
            <w:tcBorders>
              <w:top w:val="single" w:color="auto" w:sz="2" w:space="0"/>
              <w:left w:val="single" w:color="auto" w:sz="12" w:space="0"/>
              <w:bottom w:val="single" w:color="auto" w:sz="12" w:space="0"/>
              <w:right w:val="single" w:color="auto" w:sz="12" w:space="0"/>
            </w:tcBorders>
            <w:vAlign w:val="center"/>
          </w:tcPr>
          <w:p w14:paraId="3B197C05">
            <w:pPr>
              <w:jc w:val="left"/>
              <w:rPr>
                <w:bCs/>
                <w:kern w:val="0"/>
                <w:szCs w:val="21"/>
              </w:rPr>
            </w:pPr>
            <w:r>
              <w:rPr>
                <w:bCs/>
                <w:kern w:val="0"/>
                <w:szCs w:val="21"/>
              </w:rPr>
              <w:t>注：</w:t>
            </w:r>
            <w:r>
              <w:rPr>
                <w:rFonts w:ascii="Cambria Math" w:hAnsi="Cambria Math" w:cs="Cambria Math"/>
                <w:bCs/>
                <w:kern w:val="0"/>
                <w:szCs w:val="21"/>
              </w:rPr>
              <w:t>①</w:t>
            </w:r>
            <w:r>
              <w:rPr>
                <w:bCs/>
                <w:kern w:val="0"/>
                <w:szCs w:val="21"/>
              </w:rPr>
              <w:t>当</w:t>
            </w:r>
            <w:r>
              <w:rPr>
                <w:bCs/>
                <w:i/>
                <w:iCs/>
                <w:kern w:val="0"/>
                <w:szCs w:val="21"/>
              </w:rPr>
              <w:t>I</w:t>
            </w:r>
            <w:r>
              <w:rPr>
                <w:bCs/>
                <w:kern w:val="0"/>
                <w:szCs w:val="21"/>
                <w:vertAlign w:val="subscript"/>
              </w:rPr>
              <w:t>max</w:t>
            </w:r>
            <w:r>
              <w:rPr>
                <w:rFonts w:hint="eastAsia"/>
                <w:bCs/>
                <w:kern w:val="0"/>
                <w:szCs w:val="21"/>
                <w:vertAlign w:val="subscript"/>
              </w:rPr>
              <w:t xml:space="preserve"> </w:t>
            </w:r>
            <w:r>
              <w:rPr>
                <w:bCs/>
                <w:kern w:val="0"/>
                <w:szCs w:val="21"/>
              </w:rPr>
              <w:t>≥</w:t>
            </w:r>
            <w:r>
              <w:rPr>
                <w:rFonts w:hint="eastAsia"/>
                <w:bCs/>
                <w:kern w:val="0"/>
                <w:szCs w:val="21"/>
              </w:rPr>
              <w:t xml:space="preserve"> </w:t>
            </w:r>
            <w:r>
              <w:rPr>
                <w:bCs/>
                <w:kern w:val="0"/>
                <w:szCs w:val="21"/>
              </w:rPr>
              <w:t>4</w:t>
            </w:r>
            <w:r>
              <w:rPr>
                <w:i/>
                <w:szCs w:val="24"/>
              </w:rPr>
              <w:t xml:space="preserve"> I</w:t>
            </w:r>
            <w:r>
              <w:rPr>
                <w:iCs/>
                <w:szCs w:val="24"/>
                <w:vertAlign w:val="subscript"/>
              </w:rPr>
              <w:t>n</w:t>
            </w:r>
            <w:r>
              <w:rPr>
                <w:bCs/>
                <w:kern w:val="0"/>
                <w:szCs w:val="21"/>
              </w:rPr>
              <w:t>时，增加0.5</w:t>
            </w:r>
            <w:r>
              <w:rPr>
                <w:bCs/>
                <w:i/>
                <w:iCs/>
                <w:kern w:val="0"/>
                <w:szCs w:val="21"/>
              </w:rPr>
              <w:t>I</w:t>
            </w:r>
            <w:r>
              <w:rPr>
                <w:bCs/>
                <w:kern w:val="0"/>
                <w:szCs w:val="21"/>
                <w:vertAlign w:val="subscript"/>
              </w:rPr>
              <w:t>max</w:t>
            </w:r>
            <w:r>
              <w:rPr>
                <w:bCs/>
                <w:kern w:val="0"/>
                <w:szCs w:val="21"/>
              </w:rPr>
              <w:t>测试点。</w:t>
            </w:r>
          </w:p>
          <w:p w14:paraId="04D7AEFE">
            <w:pPr>
              <w:jc w:val="left"/>
            </w:pPr>
            <w:r>
              <w:rPr>
                <w:rFonts w:ascii="Cambria Math" w:hAnsi="Cambria Math" w:cs="Cambria Math"/>
                <w:bCs/>
                <w:kern w:val="0"/>
                <w:szCs w:val="21"/>
              </w:rPr>
              <w:t>②</w:t>
            </w:r>
            <w:r>
              <w:t>若电能表具有标称电压范围，应在标称电压范围内增加不同电压试验点进行试验。</w:t>
            </w:r>
          </w:p>
          <w:p w14:paraId="6397B64B">
            <w:pPr>
              <w:jc w:val="left"/>
              <w:rPr>
                <w:i/>
              </w:rPr>
            </w:pPr>
            <w:r>
              <w:rPr>
                <w:rFonts w:ascii="Cambria Math" w:hAnsi="Cambria Math" w:cs="Cambria Math"/>
                <w:szCs w:val="21"/>
              </w:rPr>
              <w:t>③</w:t>
            </w:r>
            <w:r>
              <w:rPr>
                <w:szCs w:val="21"/>
              </w:rPr>
              <w:t>直接接入式仪表选取</w:t>
            </w:r>
            <w:r>
              <w:rPr>
                <w:szCs w:val="24"/>
              </w:rPr>
              <w:t>0.1</w:t>
            </w:r>
            <w:r>
              <w:rPr>
                <w:i/>
                <w:szCs w:val="24"/>
              </w:rPr>
              <w:t>I</w:t>
            </w:r>
            <w:r>
              <w:rPr>
                <w:szCs w:val="21"/>
                <w:vertAlign w:val="subscript"/>
              </w:rPr>
              <w:t>n</w:t>
            </w:r>
            <w:r>
              <w:rPr>
                <w:szCs w:val="21"/>
              </w:rPr>
              <w:t>作为误差测试点，间接接入式仪表选取0.05</w:t>
            </w:r>
            <w:r>
              <w:rPr>
                <w:i/>
                <w:szCs w:val="24"/>
              </w:rPr>
              <w:t xml:space="preserve"> I</w:t>
            </w:r>
            <w:r>
              <w:rPr>
                <w:szCs w:val="21"/>
                <w:vertAlign w:val="subscript"/>
              </w:rPr>
              <w:t>n</w:t>
            </w:r>
            <w:r>
              <w:rPr>
                <w:szCs w:val="21"/>
              </w:rPr>
              <w:t xml:space="preserve"> 作为误差测试点。</w:t>
            </w:r>
          </w:p>
        </w:tc>
      </w:tr>
    </w:tbl>
    <w:p w14:paraId="178F4830"/>
    <w:p w14:paraId="25836897">
      <w:pPr>
        <w:pStyle w:val="5"/>
        <w:numPr>
          <w:ilvl w:val="0"/>
          <w:numId w:val="0"/>
        </w:numPr>
        <w:snapToGrid w:val="0"/>
        <w:spacing w:before="0" w:after="0" w:line="360" w:lineRule="auto"/>
        <w:rPr>
          <w:rFonts w:ascii="Times New Roman" w:hAnsi="Times New Roman" w:eastAsia="宋体"/>
        </w:rPr>
      </w:pPr>
      <w:r>
        <w:rPr>
          <w:rFonts w:ascii="Times New Roman" w:hAnsi="Times New Roman" w:eastAsia="宋体"/>
        </w:rPr>
        <w:t>7.4.6.2</w:t>
      </w:r>
      <w:r>
        <w:rPr>
          <w:rFonts w:hint="eastAsia" w:ascii="Times New Roman" w:hAnsi="Times New Roman" w:eastAsia="宋体"/>
        </w:rPr>
        <w:t xml:space="preserve">  </w:t>
      </w:r>
      <w:r>
        <w:rPr>
          <w:rFonts w:ascii="Times New Roman" w:hAnsi="Times New Roman" w:eastAsia="宋体"/>
        </w:rPr>
        <w:t>用标准表法检定电能表</w:t>
      </w:r>
    </w:p>
    <w:p w14:paraId="3D503821">
      <w:pPr>
        <w:snapToGrid w:val="0"/>
        <w:spacing w:line="360" w:lineRule="auto"/>
        <w:ind w:firstLine="480" w:firstLineChars="200"/>
        <w:rPr>
          <w:sz w:val="24"/>
        </w:rPr>
      </w:pPr>
      <w:r>
        <w:rPr>
          <w:rFonts w:hint="eastAsia"/>
          <w:sz w:val="24"/>
        </w:rPr>
        <w:t>直流电能表检定装置的</w:t>
      </w:r>
      <w:r>
        <w:rPr>
          <w:sz w:val="24"/>
        </w:rPr>
        <w:t>标准电能表与被检电能表都在连续工作的情况下，用被检电能表输出的脉冲控制标准电能表计数来确定被检电能表的相对误差。</w:t>
      </w:r>
    </w:p>
    <w:p w14:paraId="49862A92">
      <w:pPr>
        <w:spacing w:line="360" w:lineRule="auto"/>
        <w:ind w:firstLine="435"/>
        <w:rPr>
          <w:sz w:val="24"/>
        </w:rPr>
      </w:pPr>
      <w:r>
        <w:rPr>
          <w:sz w:val="24"/>
        </w:rPr>
        <w:t>被检电能表的相对误差</w:t>
      </w:r>
      <w:r>
        <w:rPr>
          <w:i/>
          <w:iCs/>
          <w:sz w:val="24"/>
        </w:rPr>
        <w:t>γ</w:t>
      </w:r>
      <w:r>
        <w:rPr>
          <w:sz w:val="24"/>
        </w:rPr>
        <w:t>（%）按式（</w:t>
      </w:r>
      <w:r>
        <w:rPr>
          <w:rFonts w:hint="eastAsia"/>
          <w:sz w:val="24"/>
        </w:rPr>
        <w:t>5</w:t>
      </w:r>
      <w:r>
        <w:rPr>
          <w:sz w:val="24"/>
        </w:rPr>
        <w:t xml:space="preserve">）计算： </w:t>
      </w:r>
    </w:p>
    <w:p w14:paraId="3B1C020C">
      <w:pPr>
        <w:spacing w:line="360" w:lineRule="auto"/>
        <w:ind w:firstLine="435"/>
        <w:jc w:val="right"/>
        <w:rPr>
          <w:rFonts w:hint="eastAsia" w:ascii="宋体" w:hAnsi="宋体"/>
          <w:sz w:val="24"/>
        </w:rPr>
      </w:pPr>
      <w:r>
        <w:rPr>
          <w:rFonts w:hint="eastAsia" w:ascii="宋体" w:hAnsi="宋体"/>
          <w:sz w:val="24"/>
        </w:rPr>
        <w:t xml:space="preserve">                   </w:t>
      </w:r>
      <w:r>
        <w:rPr>
          <w:rFonts w:ascii="宋体" w:hAnsi="宋体"/>
          <w:position w:val="-24"/>
          <w:sz w:val="24"/>
        </w:rPr>
        <w:object>
          <v:shape id="_x0000_i1049" o:spt="75" type="#_x0000_t75" style="height:32.05pt;width:58.7pt;" o:ole="t" filled="f" o:preferrelative="t" stroked="f" coordsize="21600,21600">
            <v:path/>
            <v:fill on="f" focussize="0,0"/>
            <v:stroke on="f" joinstyle="miter"/>
            <v:imagedata r:id="rId56" o:title=""/>
            <o:lock v:ext="edit" aspectratio="t"/>
            <w10:wrap type="none"/>
            <w10:anchorlock/>
          </v:shape>
          <o:OLEObject Type="Embed" ProgID="Equation.3" ShapeID="_x0000_i1049" DrawAspect="Content" ObjectID="_1468075746" r:id="rId55">
            <o:LockedField>false</o:LockedField>
          </o:OLEObject>
        </w:object>
      </w:r>
      <w:r>
        <w:rPr>
          <w:rFonts w:hint="eastAsia" w:ascii="宋体" w:hAnsi="宋体"/>
          <w:sz w:val="24"/>
        </w:rPr>
        <w:t>×</w:t>
      </w:r>
      <w:r>
        <w:rPr>
          <w:rFonts w:ascii="宋体" w:hAnsi="宋体"/>
          <w:sz w:val="24"/>
        </w:rPr>
        <w:t xml:space="preserve">100 </w:t>
      </w:r>
      <w:r>
        <w:rPr>
          <w:rFonts w:hint="eastAsia" w:ascii="宋体" w:hAnsi="宋体"/>
          <w:sz w:val="24"/>
        </w:rPr>
        <w:t>（</w:t>
      </w:r>
      <w:r>
        <w:rPr>
          <w:rFonts w:hint="eastAsia"/>
          <w:sz w:val="24"/>
        </w:rPr>
        <w:t>%</w:t>
      </w:r>
      <w:r>
        <w:rPr>
          <w:rFonts w:hint="eastAsia" w:ascii="宋体" w:hAnsi="宋体"/>
          <w:sz w:val="24"/>
        </w:rPr>
        <w:t xml:space="preserve">）                    </w:t>
      </w:r>
      <w:r>
        <w:rPr>
          <w:sz w:val="24"/>
        </w:rPr>
        <w:t>（</w:t>
      </w:r>
      <w:r>
        <w:rPr>
          <w:rFonts w:hint="eastAsia"/>
          <w:sz w:val="24"/>
        </w:rPr>
        <w:t>5</w:t>
      </w:r>
      <w:r>
        <w:rPr>
          <w:sz w:val="24"/>
        </w:rPr>
        <w:t>）</w:t>
      </w:r>
    </w:p>
    <w:p w14:paraId="3C876C7D">
      <w:pPr>
        <w:spacing w:line="360" w:lineRule="auto"/>
        <w:ind w:firstLine="435"/>
        <w:rPr>
          <w:rFonts w:hint="eastAsia" w:ascii="宋体" w:hAnsi="宋体"/>
          <w:sz w:val="24"/>
        </w:rPr>
      </w:pPr>
      <w:r>
        <w:rPr>
          <w:rFonts w:hint="eastAsia" w:ascii="宋体" w:hAnsi="宋体"/>
          <w:sz w:val="24"/>
        </w:rPr>
        <w:t xml:space="preserve">式中： </w:t>
      </w:r>
    </w:p>
    <w:p w14:paraId="3259C0FE">
      <w:pPr>
        <w:spacing w:line="360" w:lineRule="auto"/>
        <w:ind w:firstLine="1152" w:firstLineChars="480"/>
        <w:rPr>
          <w:rFonts w:hint="eastAsia" w:ascii="宋体" w:hAnsi="宋体"/>
          <w:sz w:val="24"/>
        </w:rPr>
      </w:pPr>
      <w:r>
        <w:rPr>
          <w:i/>
          <w:sz w:val="24"/>
        </w:rPr>
        <w:t>m</w:t>
      </w:r>
      <w:r>
        <w:rPr>
          <w:sz w:val="24"/>
        </w:rPr>
        <w:t>——</w:t>
      </w:r>
      <w:r>
        <w:rPr>
          <w:rFonts w:hint="eastAsia" w:ascii="宋体" w:hAnsi="宋体"/>
          <w:sz w:val="24"/>
        </w:rPr>
        <w:t>实测脉冲数；</w:t>
      </w:r>
    </w:p>
    <w:p w14:paraId="384D91FD">
      <w:pPr>
        <w:spacing w:line="360" w:lineRule="auto"/>
        <w:ind w:firstLine="435"/>
        <w:rPr>
          <w:rFonts w:hint="eastAsia" w:ascii="宋体" w:hAnsi="宋体"/>
          <w:sz w:val="24"/>
        </w:rPr>
      </w:pPr>
      <w:r>
        <w:rPr>
          <w:rFonts w:hint="eastAsia" w:ascii="宋体" w:hAnsi="宋体"/>
          <w:sz w:val="24"/>
        </w:rPr>
        <w:t xml:space="preserve">      </w:t>
      </w:r>
      <w:r>
        <w:rPr>
          <w:rFonts w:ascii="宋体" w:hAnsi="宋体"/>
          <w:position w:val="-12"/>
          <w:sz w:val="24"/>
        </w:rPr>
        <w:object>
          <v:shape id="_x0000_i1050" o:spt="75" type="#_x0000_t75" style="height:18.3pt;width:15.8pt;" o:ole="t" filled="f" o:preferrelative="t" stroked="f" coordsize="21600,21600">
            <v:path/>
            <v:fill on="f" focussize="0,0"/>
            <v:stroke on="f" joinstyle="miter"/>
            <v:imagedata r:id="rId58" o:title=""/>
            <o:lock v:ext="edit" aspectratio="t"/>
            <w10:wrap type="none"/>
            <w10:anchorlock/>
          </v:shape>
          <o:OLEObject Type="Embed" ProgID="Equation.3" ShapeID="_x0000_i1050" DrawAspect="Content" ObjectID="_1468075747" r:id="rId57">
            <o:LockedField>false</o:LockedField>
          </o:OLEObject>
        </w:object>
      </w:r>
      <w:r>
        <w:rPr>
          <w:sz w:val="24"/>
        </w:rPr>
        <w:t>——</w:t>
      </w:r>
      <w:r>
        <w:rPr>
          <w:rFonts w:hint="eastAsia" w:ascii="宋体" w:hAnsi="宋体"/>
          <w:sz w:val="24"/>
        </w:rPr>
        <w:t>算定（或预置）的脉冲数，按式（6）计算。</w:t>
      </w:r>
    </w:p>
    <w:p w14:paraId="12E655DA">
      <w:pPr>
        <w:wordWrap w:val="0"/>
        <w:spacing w:line="360" w:lineRule="auto"/>
        <w:ind w:firstLine="435"/>
        <w:jc w:val="right"/>
        <w:rPr>
          <w:rFonts w:hint="eastAsia" w:ascii="宋体" w:hAnsi="宋体"/>
          <w:sz w:val="24"/>
        </w:rPr>
      </w:pPr>
      <w:r>
        <w:rPr>
          <w:rFonts w:hint="eastAsia" w:ascii="宋体" w:hAnsi="宋体"/>
          <w:sz w:val="24"/>
        </w:rPr>
        <w:t xml:space="preserve">                     </w:t>
      </w:r>
      <w:r>
        <w:rPr>
          <w:rFonts w:ascii="宋体" w:hAnsi="宋体"/>
          <w:position w:val="-30"/>
          <w:sz w:val="24"/>
        </w:rPr>
        <w:object>
          <v:shape id="_x0000_i1051" o:spt="75" type="#_x0000_t75" style="height:34.95pt;width:90.75pt;" o:ole="t" filled="f" o:preferrelative="t" stroked="f" coordsize="21600,21600">
            <v:path/>
            <v:fill on="f" focussize="0,0"/>
            <v:stroke on="f" joinstyle="miter"/>
            <v:imagedata r:id="rId60" o:title=""/>
            <o:lock v:ext="edit" aspectratio="t"/>
            <w10:wrap type="none"/>
            <w10:anchorlock/>
          </v:shape>
          <o:OLEObject Type="Embed" ProgID="Equation.3" ShapeID="_x0000_i1051" DrawAspect="Content" ObjectID="_1468075748" r:id="rId59">
            <o:LockedField>false</o:LockedField>
          </o:OLEObject>
        </w:object>
      </w:r>
      <w:r>
        <w:rPr>
          <w:rFonts w:hint="eastAsia" w:ascii="宋体" w:hAnsi="宋体"/>
          <w:sz w:val="24"/>
        </w:rPr>
        <w:t xml:space="preserve">                       </w:t>
      </w:r>
      <w:r>
        <w:rPr>
          <w:sz w:val="24"/>
        </w:rPr>
        <w:t xml:space="preserve">  （</w:t>
      </w:r>
      <w:r>
        <w:rPr>
          <w:rFonts w:hint="eastAsia"/>
          <w:sz w:val="24"/>
        </w:rPr>
        <w:t>6</w:t>
      </w:r>
      <w:r>
        <w:rPr>
          <w:sz w:val="24"/>
        </w:rPr>
        <w:t>）</w:t>
      </w:r>
    </w:p>
    <w:p w14:paraId="297855DA">
      <w:pPr>
        <w:spacing w:line="360" w:lineRule="auto"/>
        <w:ind w:firstLine="435"/>
        <w:rPr>
          <w:rFonts w:hint="eastAsia" w:ascii="宋体" w:hAnsi="宋体"/>
          <w:sz w:val="24"/>
        </w:rPr>
      </w:pPr>
      <w:r>
        <w:rPr>
          <w:rFonts w:hint="eastAsia" w:ascii="宋体" w:hAnsi="宋体"/>
          <w:sz w:val="24"/>
        </w:rPr>
        <w:t>式中：</w:t>
      </w:r>
    </w:p>
    <w:p w14:paraId="088254E1">
      <w:pPr>
        <w:spacing w:line="360" w:lineRule="auto"/>
        <w:ind w:firstLine="1152" w:firstLineChars="480"/>
        <w:rPr>
          <w:rFonts w:hint="eastAsia" w:ascii="宋体" w:hAnsi="宋体"/>
          <w:sz w:val="24"/>
        </w:rPr>
      </w:pPr>
      <w:r>
        <w:rPr>
          <w:rFonts w:ascii="宋体" w:hAnsi="宋体"/>
          <w:position w:val="-6"/>
          <w:sz w:val="24"/>
        </w:rPr>
        <w:object>
          <v:shape id="_x0000_i1052" o:spt="75" type="#_x0000_t75" style="height:13.3pt;width:13.3pt;" o:ole="t" filled="f" o:preferrelative="t" stroked="f" coordsize="21600,21600">
            <v:path/>
            <v:fill on="f" focussize="0,0"/>
            <v:stroke on="f" joinstyle="miter"/>
            <v:imagedata r:id="rId62" o:title=""/>
            <o:lock v:ext="edit" aspectratio="t"/>
            <w10:wrap type="none"/>
            <w10:anchorlock/>
          </v:shape>
          <o:OLEObject Type="Embed" ProgID="Equation.3" ShapeID="_x0000_i1052" DrawAspect="Content" ObjectID="_1468075749" r:id="rId61">
            <o:LockedField>false</o:LockedField>
          </o:OLEObject>
        </w:object>
      </w:r>
      <w:r>
        <w:rPr>
          <w:sz w:val="24"/>
        </w:rPr>
        <w:t>——</w:t>
      </w:r>
      <w:r>
        <w:rPr>
          <w:rFonts w:hint="eastAsia" w:ascii="宋体" w:hAnsi="宋体"/>
          <w:sz w:val="24"/>
        </w:rPr>
        <w:t>被检电能表脉冲数；</w:t>
      </w:r>
    </w:p>
    <w:p w14:paraId="0AFEF690">
      <w:pPr>
        <w:spacing w:line="360" w:lineRule="auto"/>
        <w:ind w:firstLine="1152" w:firstLineChars="480"/>
        <w:rPr>
          <w:rFonts w:hint="eastAsia" w:ascii="宋体" w:hAnsi="宋体"/>
          <w:sz w:val="24"/>
        </w:rPr>
      </w:pPr>
      <w:r>
        <w:rPr>
          <w:rFonts w:ascii="宋体" w:hAnsi="宋体"/>
          <w:position w:val="-12"/>
          <w:sz w:val="24"/>
        </w:rPr>
        <w:object>
          <v:shape id="_x0000_i1053" o:spt="75" type="#_x0000_t75" style="height:18.3pt;width:15.8pt;" o:ole="t" filled="f" o:preferrelative="t" stroked="f" coordsize="21600,21600">
            <v:path/>
            <v:fill on="f" focussize="0,0"/>
            <v:stroke on="f" joinstyle="miter"/>
            <v:imagedata r:id="rId64" o:title=""/>
            <o:lock v:ext="edit" aspectratio="t"/>
            <w10:wrap type="none"/>
            <w10:anchorlock/>
          </v:shape>
          <o:OLEObject Type="Embed" ProgID="Equation.3" ShapeID="_x0000_i1053" DrawAspect="Content" ObjectID="_1468075750" r:id="rId63">
            <o:LockedField>false</o:LockedField>
          </o:OLEObject>
        </w:object>
      </w:r>
      <w:r>
        <w:rPr>
          <w:sz w:val="24"/>
        </w:rPr>
        <w:t>——</w:t>
      </w:r>
      <w:r>
        <w:rPr>
          <w:rFonts w:hint="eastAsia" w:ascii="宋体" w:hAnsi="宋体"/>
          <w:sz w:val="24"/>
        </w:rPr>
        <w:t>标准表的（脉冲）仪表常数，</w:t>
      </w:r>
      <w:r>
        <w:rPr>
          <w:sz w:val="24"/>
        </w:rPr>
        <w:t>imp /kWh</w:t>
      </w:r>
      <w:r>
        <w:rPr>
          <w:rFonts w:hint="eastAsia" w:ascii="宋体" w:hAnsi="宋体"/>
          <w:sz w:val="24"/>
        </w:rPr>
        <w:t>；</w:t>
      </w:r>
    </w:p>
    <w:p w14:paraId="724595FA">
      <w:pPr>
        <w:spacing w:line="360" w:lineRule="auto"/>
        <w:ind w:firstLine="435"/>
      </w:pPr>
      <w:r>
        <w:rPr>
          <w:rFonts w:hint="eastAsia" w:ascii="宋体" w:hAnsi="宋体"/>
          <w:sz w:val="24"/>
        </w:rPr>
        <w:t xml:space="preserve">      </w:t>
      </w:r>
      <w:r>
        <w:rPr>
          <w:rFonts w:ascii="宋体" w:hAnsi="宋体"/>
          <w:position w:val="-10"/>
          <w:sz w:val="24"/>
        </w:rPr>
        <w:object>
          <v:shape id="_x0000_i1054" o:spt="75" type="#_x0000_t75" style="height:16.65pt;width:16.65pt;" o:ole="t" filled="f" o:preferrelative="t" stroked="f" coordsize="21600,21600">
            <v:path/>
            <v:fill on="f" focussize="0,0"/>
            <v:stroke on="f" joinstyle="miter"/>
            <v:imagedata r:id="rId66" o:title=""/>
            <o:lock v:ext="edit" aspectratio="t"/>
            <w10:wrap type="none"/>
            <w10:anchorlock/>
          </v:shape>
          <o:OLEObject Type="Embed" ProgID="Equation.3" ShapeID="_x0000_i1054" DrawAspect="Content" ObjectID="_1468075751" r:id="rId65">
            <o:LockedField>false</o:LockedField>
          </o:OLEObject>
        </w:object>
      </w:r>
      <w:r>
        <w:rPr>
          <w:sz w:val="24"/>
        </w:rPr>
        <w:t>——</w:t>
      </w:r>
      <w:r>
        <w:rPr>
          <w:rFonts w:hint="eastAsia" w:ascii="宋体" w:hAnsi="宋体"/>
          <w:sz w:val="24"/>
        </w:rPr>
        <w:t>被检电能表的（脉冲）仪表常数，</w:t>
      </w:r>
      <w:r>
        <w:rPr>
          <w:sz w:val="24"/>
        </w:rPr>
        <w:t>imp</w:t>
      </w:r>
      <w:r>
        <w:rPr>
          <w:rFonts w:hint="eastAsia" w:ascii="宋体" w:hAnsi="宋体"/>
          <w:sz w:val="24"/>
        </w:rPr>
        <w:t>/</w:t>
      </w:r>
      <w:r>
        <w:rPr>
          <w:sz w:val="24"/>
        </w:rPr>
        <w:t>kWh</w:t>
      </w:r>
      <w:r>
        <w:rPr>
          <w:rFonts w:hint="eastAsia" w:ascii="宋体" w:hAnsi="宋体"/>
          <w:sz w:val="24"/>
        </w:rPr>
        <w:t xml:space="preserve">； </w:t>
      </w:r>
      <w:r>
        <w:rPr>
          <w:rFonts w:hint="eastAsia"/>
        </w:rPr>
        <w:t xml:space="preserve">    </w:t>
      </w:r>
    </w:p>
    <w:p w14:paraId="72978357">
      <w:pPr>
        <w:spacing w:line="360" w:lineRule="auto"/>
        <w:ind w:firstLine="1152" w:firstLineChars="480"/>
        <w:rPr>
          <w:rFonts w:hint="eastAsia" w:ascii="宋体" w:hAnsi="宋体"/>
          <w:sz w:val="24"/>
        </w:rPr>
      </w:pPr>
      <w:r>
        <w:rPr>
          <w:rFonts w:ascii="宋体" w:hAnsi="宋体"/>
          <w:position w:val="-10"/>
          <w:sz w:val="24"/>
        </w:rPr>
        <w:object>
          <v:shape id="_x0000_i1055" o:spt="75" type="#_x0000_t75" style="height:16.65pt;width:15.8pt;" o:ole="t" filled="f" o:preferrelative="t" stroked="f" coordsize="21600,21600">
            <v:path/>
            <v:fill on="f" focussize="0,0"/>
            <v:stroke on="f" joinstyle="miter"/>
            <v:imagedata r:id="rId68" o:title=""/>
            <o:lock v:ext="edit" aspectratio="t"/>
            <w10:wrap type="none"/>
            <w10:anchorlock/>
          </v:shape>
          <o:OLEObject Type="Embed" ProgID="Equation.3" ShapeID="_x0000_i1055" DrawAspect="Content" ObjectID="_1468075752" r:id="rId67">
            <o:LockedField>false</o:LockedField>
          </o:OLEObject>
        </w:object>
      </w:r>
      <w:r>
        <w:rPr>
          <w:rFonts w:hint="eastAsia" w:ascii="宋体" w:hAnsi="宋体"/>
          <w:sz w:val="24"/>
        </w:rPr>
        <w:t>、</w:t>
      </w:r>
      <w:r>
        <w:rPr>
          <w:rFonts w:ascii="宋体" w:hAnsi="宋体"/>
          <w:position w:val="-12"/>
          <w:sz w:val="24"/>
        </w:rPr>
        <w:object>
          <v:shape id="_x0000_i1056" o:spt="75" type="#_x0000_t75" style="height:18.3pt;width:18.3pt;" o:ole="t" filled="f" o:preferrelative="t" stroked="f" coordsize="21600,21600">
            <v:path/>
            <v:fill on="f" focussize="0,0"/>
            <v:stroke on="f" joinstyle="miter"/>
            <v:imagedata r:id="rId70" o:title=""/>
            <o:lock v:ext="edit" aspectratio="t"/>
            <w10:wrap type="none"/>
            <w10:anchorlock/>
          </v:shape>
          <o:OLEObject Type="Embed" ProgID="Equation.3" ShapeID="_x0000_i1056" DrawAspect="Content" ObjectID="_1468075753" r:id="rId69">
            <o:LockedField>false</o:LockedField>
          </o:OLEObject>
        </w:object>
      </w:r>
      <w:r>
        <w:rPr>
          <w:sz w:val="24"/>
        </w:rPr>
        <w:t>——</w:t>
      </w:r>
      <w:r>
        <w:rPr>
          <w:rFonts w:hint="eastAsia" w:ascii="宋体" w:hAnsi="宋体"/>
          <w:sz w:val="24"/>
        </w:rPr>
        <w:t>标准表外接的电流、电压传感器变比。当没有外接电流、电压传感器时，</w:t>
      </w:r>
      <w:r>
        <w:rPr>
          <w:rFonts w:ascii="宋体" w:hAnsi="宋体"/>
          <w:position w:val="-10"/>
          <w:sz w:val="24"/>
        </w:rPr>
        <w:object>
          <v:shape id="_x0000_i1057" o:spt="75" type="#_x0000_t75" style="height:16.65pt;width:15.8pt;" o:ole="t" filled="f" o:preferrelative="t" stroked="f" coordsize="21600,21600">
            <v:path/>
            <v:fill on="f" focussize="0,0"/>
            <v:stroke on="f" joinstyle="miter"/>
            <v:imagedata r:id="rId72" o:title=""/>
            <o:lock v:ext="edit" aspectratio="t"/>
            <w10:wrap type="none"/>
            <w10:anchorlock/>
          </v:shape>
          <o:OLEObject Type="Embed" ProgID="Equation.3" ShapeID="_x0000_i1057" DrawAspect="Content" ObjectID="_1468075754" r:id="rId71">
            <o:LockedField>false</o:LockedField>
          </o:OLEObject>
        </w:object>
      </w:r>
      <w:r>
        <w:rPr>
          <w:rFonts w:hint="eastAsia" w:ascii="宋体" w:hAnsi="宋体"/>
          <w:sz w:val="24"/>
        </w:rPr>
        <w:t>和</w:t>
      </w:r>
      <w:r>
        <w:rPr>
          <w:rFonts w:ascii="宋体" w:hAnsi="宋体"/>
          <w:position w:val="-12"/>
          <w:sz w:val="24"/>
        </w:rPr>
        <w:object>
          <v:shape id="_x0000_i1058" o:spt="75" type="#_x0000_t75" style="height:18.3pt;width:18.3pt;" o:ole="t" filled="f" o:preferrelative="t" stroked="f" coordsize="21600,21600">
            <v:path/>
            <v:fill on="f" focussize="0,0"/>
            <v:stroke on="f" joinstyle="miter"/>
            <v:imagedata r:id="rId74" o:title=""/>
            <o:lock v:ext="edit" aspectratio="t"/>
            <w10:wrap type="none"/>
            <w10:anchorlock/>
          </v:shape>
          <o:OLEObject Type="Embed" ProgID="Equation.3" ShapeID="_x0000_i1058" DrawAspect="Content" ObjectID="_1468075755" r:id="rId73">
            <o:LockedField>false</o:LockedField>
          </o:OLEObject>
        </w:object>
      </w:r>
      <w:r>
        <w:rPr>
          <w:rFonts w:hint="eastAsia" w:ascii="宋体" w:hAnsi="宋体"/>
          <w:sz w:val="24"/>
        </w:rPr>
        <w:t xml:space="preserve">都等于1。                   </w:t>
      </w:r>
      <w:r>
        <w:rPr>
          <w:rFonts w:hint="eastAsia"/>
        </w:rPr>
        <w:t xml:space="preserve">            </w:t>
      </w:r>
    </w:p>
    <w:p w14:paraId="3996939F">
      <w:pPr>
        <w:snapToGrid w:val="0"/>
        <w:spacing w:line="360" w:lineRule="auto"/>
        <w:ind w:firstLine="480" w:firstLineChars="200"/>
        <w:rPr>
          <w:sz w:val="24"/>
        </w:rPr>
      </w:pPr>
      <w:r>
        <w:rPr>
          <w:sz w:val="24"/>
        </w:rPr>
        <w:t>要适当地选择被检电能表的脉冲数</w:t>
      </w:r>
      <w:r>
        <w:rPr>
          <w:i/>
          <w:sz w:val="24"/>
        </w:rPr>
        <w:t>N</w:t>
      </w:r>
      <w:r>
        <w:rPr>
          <w:sz w:val="24"/>
        </w:rPr>
        <w:t>，</w:t>
      </w:r>
      <w:r>
        <w:rPr>
          <w:rFonts w:hint="eastAsia"/>
          <w:sz w:val="24"/>
        </w:rPr>
        <w:t>使算定（或预置）脉冲数的倒数应小于该检定点最大允许误差限的1/20，</w:t>
      </w:r>
      <w:r>
        <w:rPr>
          <w:sz w:val="24"/>
        </w:rPr>
        <w:t>同时每次测试时限不少于</w:t>
      </w:r>
      <w:r>
        <w:rPr>
          <w:rFonts w:hint="eastAsia"/>
          <w:sz w:val="24"/>
        </w:rPr>
        <w:t xml:space="preserve">10 </w:t>
      </w:r>
      <w:r>
        <w:rPr>
          <w:sz w:val="24"/>
        </w:rPr>
        <w:t>s。</w:t>
      </w:r>
    </w:p>
    <w:p w14:paraId="60AA0DB5">
      <w:pPr>
        <w:pStyle w:val="5"/>
        <w:numPr>
          <w:ilvl w:val="0"/>
          <w:numId w:val="0"/>
        </w:numPr>
        <w:snapToGrid w:val="0"/>
        <w:spacing w:before="0" w:after="0" w:line="360" w:lineRule="auto"/>
        <w:rPr>
          <w:rFonts w:ascii="Times New Roman" w:hAnsi="Times New Roman" w:eastAsia="宋体"/>
        </w:rPr>
      </w:pPr>
      <w:r>
        <w:rPr>
          <w:rFonts w:ascii="Times New Roman" w:hAnsi="Times New Roman" w:eastAsia="宋体"/>
        </w:rPr>
        <w:t xml:space="preserve">7.4.6.3 </w:t>
      </w:r>
      <w:r>
        <w:rPr>
          <w:rFonts w:hint="eastAsia" w:ascii="Times New Roman" w:hAnsi="Times New Roman" w:eastAsia="宋体"/>
        </w:rPr>
        <w:t xml:space="preserve"> </w:t>
      </w:r>
      <w:r>
        <w:rPr>
          <w:rFonts w:ascii="Times New Roman" w:hAnsi="Times New Roman" w:eastAsia="宋体"/>
        </w:rPr>
        <w:t>用瓦秒法检定电能表</w:t>
      </w:r>
    </w:p>
    <w:p w14:paraId="76DCB583">
      <w:pPr>
        <w:pStyle w:val="19"/>
        <w:snapToGrid w:val="0"/>
        <w:spacing w:after="0" w:line="360" w:lineRule="auto"/>
        <w:ind w:left="0" w:leftChars="0" w:firstLine="480" w:firstLineChars="200"/>
        <w:jc w:val="left"/>
        <w:rPr>
          <w:sz w:val="24"/>
          <w:szCs w:val="24"/>
        </w:rPr>
      </w:pPr>
      <w:r>
        <w:rPr>
          <w:sz w:val="24"/>
          <w:szCs w:val="24"/>
        </w:rPr>
        <w:t>用标准功率表测定调定的恒定功率，或用标准功率源确定功率，同时用标准测时器测量电能表在恒定功率下输出若干脉冲所需时间，该时间与恒定功率的乘积所得实际电能，与电能表测定的电能相比较来确定电能表的相对误差。</w:t>
      </w:r>
    </w:p>
    <w:p w14:paraId="0C2C5DDA">
      <w:pPr>
        <w:spacing w:line="360" w:lineRule="auto"/>
        <w:ind w:left="480"/>
        <w:rPr>
          <w:sz w:val="24"/>
        </w:rPr>
      </w:pPr>
      <w:r>
        <w:rPr>
          <w:sz w:val="24"/>
        </w:rPr>
        <w:t>相对误差按式（</w:t>
      </w:r>
      <w:r>
        <w:rPr>
          <w:rFonts w:hint="eastAsia"/>
          <w:sz w:val="24"/>
        </w:rPr>
        <w:t>7</w:t>
      </w:r>
      <w:r>
        <w:rPr>
          <w:sz w:val="24"/>
        </w:rPr>
        <w:t>）计算：</w:t>
      </w:r>
    </w:p>
    <w:p w14:paraId="1D192008">
      <w:pPr>
        <w:spacing w:line="360" w:lineRule="auto"/>
        <w:jc w:val="right"/>
        <w:rPr>
          <w:rFonts w:hint="eastAsia" w:ascii="宋体" w:hAnsi="宋体"/>
          <w:sz w:val="24"/>
        </w:rPr>
      </w:pPr>
      <w:r>
        <w:rPr>
          <w:rFonts w:hint="eastAsia" w:ascii="宋体" w:hAnsi="宋体"/>
          <w:sz w:val="24"/>
        </w:rPr>
        <w:t xml:space="preserve">                        </w:t>
      </w:r>
      <w:r>
        <w:rPr>
          <w:rFonts w:ascii="宋体" w:hAnsi="宋体"/>
          <w:position w:val="-30"/>
          <w:sz w:val="24"/>
        </w:rPr>
        <w:object>
          <v:shape id="_x0000_i1059" o:spt="75" type="#_x0000_t75" style="height:34.95pt;width:58.7pt;" o:ole="t" filled="f" o:preferrelative="t" stroked="f" coordsize="21600,21600">
            <v:path/>
            <v:fill on="f" focussize="0,0"/>
            <v:stroke on="f" joinstyle="miter"/>
            <v:imagedata r:id="rId76" o:title=""/>
            <o:lock v:ext="edit" aspectratio="t"/>
            <w10:wrap type="none"/>
            <w10:anchorlock/>
          </v:shape>
          <o:OLEObject Type="Embed" ProgID="Equation.3" ShapeID="_x0000_i1059" DrawAspect="Content" ObjectID="_1468075756" r:id="rId75">
            <o:LockedField>false</o:LockedField>
          </o:OLEObject>
        </w:object>
      </w:r>
      <w:r>
        <w:rPr>
          <w:rFonts w:hint="eastAsia" w:ascii="宋体" w:hAnsi="宋体"/>
          <w:sz w:val="24"/>
        </w:rPr>
        <w:t>×</w:t>
      </w:r>
      <w:r>
        <w:rPr>
          <w:rFonts w:ascii="宋体" w:hAnsi="宋体"/>
          <w:sz w:val="24"/>
        </w:rPr>
        <w:t xml:space="preserve">100 </w:t>
      </w:r>
      <w:r>
        <w:rPr>
          <w:rFonts w:hint="eastAsia" w:ascii="宋体" w:hAnsi="宋体"/>
          <w:sz w:val="24"/>
        </w:rPr>
        <w:t>（</w:t>
      </w:r>
      <w:r>
        <w:rPr>
          <w:rFonts w:hint="eastAsia"/>
          <w:sz w:val="24"/>
        </w:rPr>
        <w:t>%</w:t>
      </w:r>
      <w:r>
        <w:rPr>
          <w:rFonts w:hint="eastAsia" w:ascii="宋体" w:hAnsi="宋体"/>
          <w:sz w:val="24"/>
        </w:rPr>
        <w:t xml:space="preserve">）                      </w:t>
      </w:r>
      <w:r>
        <w:rPr>
          <w:sz w:val="24"/>
        </w:rPr>
        <w:t>（</w:t>
      </w:r>
      <w:r>
        <w:rPr>
          <w:rFonts w:hint="eastAsia"/>
          <w:sz w:val="24"/>
        </w:rPr>
        <w:t>7</w:t>
      </w:r>
      <w:r>
        <w:rPr>
          <w:sz w:val="24"/>
        </w:rPr>
        <w:t>）</w:t>
      </w:r>
    </w:p>
    <w:p w14:paraId="67EE9058">
      <w:pPr>
        <w:spacing w:line="360" w:lineRule="auto"/>
        <w:ind w:firstLine="435"/>
        <w:rPr>
          <w:rFonts w:hint="eastAsia" w:ascii="宋体" w:hAnsi="宋体"/>
          <w:sz w:val="24"/>
        </w:rPr>
      </w:pPr>
      <w:r>
        <w:rPr>
          <w:rFonts w:hint="eastAsia" w:ascii="宋体" w:hAnsi="宋体"/>
          <w:sz w:val="24"/>
        </w:rPr>
        <w:t xml:space="preserve">式中： </w:t>
      </w:r>
    </w:p>
    <w:p w14:paraId="46247E13">
      <w:pPr>
        <w:spacing w:line="360" w:lineRule="auto"/>
        <w:ind w:firstLine="840" w:firstLineChars="350"/>
        <w:rPr>
          <w:rFonts w:hint="eastAsia" w:ascii="宋体" w:hAnsi="宋体"/>
          <w:sz w:val="24"/>
        </w:rPr>
      </w:pPr>
      <w:r>
        <w:rPr>
          <w:i/>
          <w:sz w:val="24"/>
        </w:rPr>
        <w:t>m</w:t>
      </w:r>
      <w:r>
        <w:rPr>
          <w:sz w:val="24"/>
        </w:rPr>
        <w:t>——</w:t>
      </w:r>
      <w:r>
        <w:rPr>
          <w:rFonts w:hint="eastAsia" w:ascii="宋体" w:hAnsi="宋体"/>
          <w:sz w:val="24"/>
        </w:rPr>
        <w:t>实测脉冲数，即电能表有误差时在</w:t>
      </w:r>
      <w:r>
        <w:rPr>
          <w:rFonts w:ascii="宋体" w:hAnsi="宋体"/>
          <w:position w:val="-10"/>
          <w:sz w:val="24"/>
        </w:rPr>
        <w:object>
          <v:shape id="_x0000_i1060" o:spt="75" type="#_x0000_t75" style="height:16.65pt;width:13.3pt;" o:ole="t" filled="f" o:preferrelative="t" stroked="f" coordsize="21600,21600">
            <v:path/>
            <v:fill on="f" focussize="0,0"/>
            <v:stroke on="f" joinstyle="miter"/>
            <v:imagedata r:id="rId78" o:title=""/>
            <o:lock v:ext="edit" aspectratio="t"/>
            <w10:wrap type="none"/>
            <w10:anchorlock/>
          </v:shape>
          <o:OLEObject Type="Embed" ProgID="Equation.3" ShapeID="_x0000_i1060" DrawAspect="Content" ObjectID="_1468075757" r:id="rId77">
            <o:LockedField>false</o:LockedField>
          </o:OLEObject>
        </w:object>
      </w:r>
      <w:r>
        <w:rPr>
          <w:sz w:val="24"/>
        </w:rPr>
        <w:t>(</w:t>
      </w:r>
      <w:r>
        <w:rPr>
          <w:rFonts w:hint="eastAsia"/>
          <w:sz w:val="24"/>
        </w:rPr>
        <w:t xml:space="preserve"> </w:t>
      </w:r>
      <w:r>
        <w:rPr>
          <w:sz w:val="24"/>
        </w:rPr>
        <w:t>s</w:t>
      </w:r>
      <w:r>
        <w:rPr>
          <w:rFonts w:hint="eastAsia"/>
          <w:sz w:val="24"/>
        </w:rPr>
        <w:t xml:space="preserve"> </w:t>
      </w:r>
      <w:r>
        <w:rPr>
          <w:sz w:val="24"/>
        </w:rPr>
        <w:t>)</w:t>
      </w:r>
      <w:r>
        <w:rPr>
          <w:rFonts w:hint="eastAsia" w:ascii="宋体" w:hAnsi="宋体"/>
          <w:sz w:val="24"/>
        </w:rPr>
        <w:t>内显示的脉冲数；</w:t>
      </w:r>
    </w:p>
    <w:p w14:paraId="01056D48">
      <w:pPr>
        <w:spacing w:line="360" w:lineRule="auto"/>
        <w:ind w:firstLine="435"/>
        <w:rPr>
          <w:rFonts w:hint="eastAsia" w:ascii="宋体" w:hAnsi="宋体"/>
          <w:sz w:val="24"/>
        </w:rPr>
      </w:pPr>
      <w:r>
        <w:rPr>
          <w:rFonts w:hint="eastAsia" w:ascii="宋体" w:hAnsi="宋体"/>
          <w:sz w:val="24"/>
        </w:rPr>
        <w:t xml:space="preserve">   </w:t>
      </w:r>
      <w:r>
        <w:rPr>
          <w:rFonts w:ascii="宋体" w:hAnsi="宋体"/>
          <w:position w:val="-12"/>
          <w:sz w:val="24"/>
        </w:rPr>
        <w:object>
          <v:shape id="_x0000_i1061" o:spt="75" type="#_x0000_t75" style="height:18.3pt;width:15.8pt;" o:ole="t" filled="f" o:preferrelative="t" stroked="f" coordsize="21600,21600">
            <v:path/>
            <v:fill on="f" focussize="0,0"/>
            <v:stroke on="f" joinstyle="miter"/>
            <v:imagedata r:id="rId58" o:title=""/>
            <o:lock v:ext="edit" aspectratio="t"/>
            <w10:wrap type="none"/>
            <w10:anchorlock/>
          </v:shape>
          <o:OLEObject Type="Embed" ProgID="Equation.3" ShapeID="_x0000_i1061" DrawAspect="Content" ObjectID="_1468075758" r:id="rId79">
            <o:LockedField>false</o:LockedField>
          </o:OLEObject>
        </w:object>
      </w:r>
      <w:r>
        <w:rPr>
          <w:sz w:val="24"/>
        </w:rPr>
        <w:t>——</w:t>
      </w:r>
      <w:r>
        <w:rPr>
          <w:rFonts w:hint="eastAsia" w:ascii="宋体" w:hAnsi="宋体"/>
          <w:sz w:val="24"/>
        </w:rPr>
        <w:t>算定（或预置）脉冲数，按</w:t>
      </w:r>
      <w:r>
        <w:rPr>
          <w:sz w:val="24"/>
        </w:rPr>
        <w:t>（</w:t>
      </w:r>
      <w:r>
        <w:rPr>
          <w:rFonts w:hint="eastAsia"/>
          <w:sz w:val="24"/>
        </w:rPr>
        <w:t>8</w:t>
      </w:r>
      <w:r>
        <w:rPr>
          <w:sz w:val="24"/>
        </w:rPr>
        <w:t>）</w:t>
      </w:r>
      <w:r>
        <w:rPr>
          <w:rFonts w:hint="eastAsia" w:ascii="宋体" w:hAnsi="宋体"/>
          <w:sz w:val="24"/>
        </w:rPr>
        <w:t>式计算。</w:t>
      </w:r>
    </w:p>
    <w:p w14:paraId="483E167B">
      <w:pPr>
        <w:spacing w:line="360" w:lineRule="auto"/>
        <w:jc w:val="right"/>
        <w:rPr>
          <w:sz w:val="24"/>
        </w:rPr>
      </w:pPr>
      <w:r>
        <w:rPr>
          <w:rFonts w:hint="eastAsia" w:ascii="宋体" w:hAnsi="宋体"/>
          <w:sz w:val="24"/>
        </w:rPr>
        <w:t xml:space="preserve">                     </w:t>
      </w:r>
      <w:r>
        <w:rPr>
          <w:rFonts w:ascii="宋体" w:hAnsi="宋体"/>
          <w:position w:val="-24"/>
          <w:sz w:val="24"/>
        </w:rPr>
        <w:object>
          <v:shape id="_x0000_i1062" o:spt="75" type="#_x0000_t75" style="height:32.05pt;width:87.8pt;" o:ole="t" filled="f" o:preferrelative="t" stroked="f" coordsize="21600,21600">
            <v:path/>
            <v:fill on="f" focussize="0,0"/>
            <v:stroke on="f" joinstyle="miter"/>
            <v:imagedata r:id="rId81" o:title=""/>
            <o:lock v:ext="edit" aspectratio="t"/>
            <w10:wrap type="none"/>
            <w10:anchorlock/>
          </v:shape>
          <o:OLEObject Type="Embed" ProgID="Equation.3" ShapeID="_x0000_i1062" DrawAspect="Content" ObjectID="_1468075759" r:id="rId80">
            <o:LockedField>false</o:LockedField>
          </o:OLEObject>
        </w:object>
      </w:r>
      <w:r>
        <w:rPr>
          <w:rFonts w:hint="eastAsia" w:ascii="宋体" w:hAnsi="宋体"/>
          <w:sz w:val="24"/>
        </w:rPr>
        <w:t>(</w:t>
      </w:r>
      <w:r>
        <w:rPr>
          <w:sz w:val="24"/>
        </w:rPr>
        <w:t>imp</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sz w:val="24"/>
        </w:rPr>
        <w:t>（</w:t>
      </w:r>
      <w:r>
        <w:rPr>
          <w:rFonts w:hint="eastAsia"/>
          <w:sz w:val="24"/>
        </w:rPr>
        <w:t>8</w:t>
      </w:r>
      <w:r>
        <w:rPr>
          <w:sz w:val="24"/>
        </w:rPr>
        <w:t>）</w:t>
      </w:r>
    </w:p>
    <w:p w14:paraId="10F156C9">
      <w:pPr>
        <w:spacing w:line="360" w:lineRule="auto"/>
        <w:ind w:firstLine="480" w:firstLineChars="200"/>
        <w:rPr>
          <w:rFonts w:hint="eastAsia" w:ascii="宋体" w:hAnsi="宋体"/>
          <w:sz w:val="24"/>
        </w:rPr>
      </w:pPr>
      <w:r>
        <w:rPr>
          <w:rFonts w:hint="eastAsia" w:ascii="宋体" w:hAnsi="宋体"/>
          <w:sz w:val="24"/>
        </w:rPr>
        <w:t xml:space="preserve">其中： </w:t>
      </w:r>
    </w:p>
    <w:p w14:paraId="159B23C1">
      <w:pPr>
        <w:spacing w:line="360" w:lineRule="auto"/>
        <w:ind w:firstLine="600" w:firstLineChars="250"/>
        <w:rPr>
          <w:rFonts w:hint="eastAsia" w:ascii="宋体" w:hAnsi="宋体"/>
          <w:sz w:val="24"/>
        </w:rPr>
      </w:pPr>
      <w:r>
        <w:rPr>
          <w:rFonts w:hint="eastAsia" w:ascii="宋体" w:hAnsi="宋体"/>
          <w:sz w:val="24"/>
        </w:rPr>
        <w:t xml:space="preserve"> </w:t>
      </w:r>
      <w:r>
        <w:rPr>
          <w:rFonts w:ascii="宋体" w:hAnsi="宋体"/>
          <w:position w:val="-10"/>
          <w:sz w:val="24"/>
        </w:rPr>
        <w:object>
          <v:shape id="_x0000_i1063" o:spt="75" type="#_x0000_t75" style="height:16.65pt;width:13.3pt;" o:ole="t" filled="f" o:preferrelative="t" stroked="f" coordsize="21600,21600">
            <v:path/>
            <v:fill on="f" focussize="0,0"/>
            <v:stroke on="f" joinstyle="miter"/>
            <v:imagedata r:id="rId83" o:title=""/>
            <o:lock v:ext="edit" aspectratio="t"/>
            <w10:wrap type="none"/>
            <w10:anchorlock/>
          </v:shape>
          <o:OLEObject Type="Embed" ProgID="Equation.3" ShapeID="_x0000_i1063" DrawAspect="Content" ObjectID="_1468075760" r:id="rId82">
            <o:LockedField>false</o:LockedField>
          </o:OLEObject>
        </w:object>
      </w:r>
      <w:r>
        <w:rPr>
          <w:sz w:val="24"/>
        </w:rPr>
        <w:t>——</w:t>
      </w:r>
      <w:r>
        <w:rPr>
          <w:rFonts w:hint="eastAsia" w:ascii="宋体" w:hAnsi="宋体"/>
          <w:sz w:val="24"/>
        </w:rPr>
        <w:t>选定的测量时间，</w:t>
      </w:r>
      <w:r>
        <w:rPr>
          <w:sz w:val="24"/>
        </w:rPr>
        <w:t>s</w:t>
      </w:r>
      <w:r>
        <w:rPr>
          <w:rFonts w:hint="eastAsia" w:ascii="宋体" w:hAnsi="宋体"/>
          <w:sz w:val="24"/>
        </w:rPr>
        <w:t>；</w:t>
      </w:r>
    </w:p>
    <w:p w14:paraId="7BB76892">
      <w:pPr>
        <w:spacing w:line="360" w:lineRule="auto"/>
        <w:rPr>
          <w:sz w:val="24"/>
          <w:szCs w:val="24"/>
        </w:rPr>
      </w:pPr>
      <w:r>
        <w:rPr>
          <w:rFonts w:hint="eastAsia" w:ascii="宋体" w:hAnsi="宋体"/>
          <w:sz w:val="24"/>
        </w:rPr>
        <w:t xml:space="preserve">      </w:t>
      </w:r>
      <w:r>
        <w:rPr>
          <w:rFonts w:ascii="宋体" w:hAnsi="宋体"/>
          <w:position w:val="-4"/>
          <w:sz w:val="24"/>
        </w:rPr>
        <w:object>
          <v:shape id="_x0000_i1064" o:spt="75" type="#_x0000_t75" style="height:13.3pt;width:11.65pt;" o:ole="t" filled="f" o:preferrelative="t" stroked="f" coordsize="21600,21600">
            <v:path/>
            <v:fill on="f" focussize="0,0"/>
            <v:stroke on="f" joinstyle="miter"/>
            <v:imagedata r:id="rId85" o:title=""/>
            <o:lock v:ext="edit" aspectratio="t"/>
            <w10:wrap type="none"/>
            <w10:anchorlock/>
          </v:shape>
          <o:OLEObject Type="Embed" ProgID="Equation.3" ShapeID="_x0000_i1064" DrawAspect="Content" ObjectID="_1468075761" r:id="rId84">
            <o:LockedField>false</o:LockedField>
          </o:OLEObject>
        </w:object>
      </w:r>
      <w:r>
        <w:rPr>
          <w:sz w:val="24"/>
        </w:rPr>
        <w:t>——</w:t>
      </w:r>
      <w:r>
        <w:rPr>
          <w:rFonts w:hint="eastAsia"/>
          <w:sz w:val="24"/>
          <w:szCs w:val="24"/>
        </w:rPr>
        <w:t>调定的恒定功率值，W；</w:t>
      </w:r>
    </w:p>
    <w:p w14:paraId="770D170D">
      <w:pPr>
        <w:spacing w:line="360" w:lineRule="auto"/>
        <w:ind w:firstLine="720" w:firstLineChars="300"/>
        <w:rPr>
          <w:sz w:val="24"/>
        </w:rPr>
      </w:pPr>
      <w:r>
        <w:rPr>
          <w:sz w:val="24"/>
        </w:rPr>
        <w:t>C ——被检电能表的仪表常数，imp/kWh；</w:t>
      </w:r>
    </w:p>
    <w:p w14:paraId="028906E3">
      <w:pPr>
        <w:spacing w:line="360" w:lineRule="auto"/>
        <w:ind w:firstLine="720" w:firstLineChars="300"/>
        <w:rPr>
          <w:rFonts w:hint="eastAsia" w:ascii="宋体" w:hAnsi="宋体"/>
          <w:sz w:val="24"/>
        </w:rPr>
      </w:pPr>
      <w:r>
        <w:rPr>
          <w:rFonts w:ascii="宋体" w:hAnsi="宋体"/>
          <w:position w:val="-10"/>
          <w:sz w:val="24"/>
        </w:rPr>
        <w:object>
          <v:shape id="_x0000_i1065" o:spt="75" type="#_x0000_t75" style="height:16.65pt;width:15.8pt;" o:ole="t" filled="f" o:preferrelative="t" stroked="f" coordsize="21600,21600">
            <v:path/>
            <v:fill on="f" focussize="0,0"/>
            <v:stroke on="f" joinstyle="miter"/>
            <v:imagedata r:id="rId68" o:title=""/>
            <o:lock v:ext="edit" aspectratio="t"/>
            <w10:wrap type="none"/>
            <w10:anchorlock/>
          </v:shape>
          <o:OLEObject Type="Embed" ProgID="Equation.3" ShapeID="_x0000_i1065" DrawAspect="Content" ObjectID="_1468075762" r:id="rId86">
            <o:LockedField>false</o:LockedField>
          </o:OLEObject>
        </w:object>
      </w:r>
      <w:r>
        <w:rPr>
          <w:rFonts w:hint="eastAsia" w:ascii="宋体" w:hAnsi="宋体"/>
          <w:sz w:val="24"/>
        </w:rPr>
        <w:t>、</w:t>
      </w:r>
      <w:r>
        <w:rPr>
          <w:rFonts w:ascii="宋体" w:hAnsi="宋体"/>
          <w:position w:val="-12"/>
          <w:sz w:val="24"/>
        </w:rPr>
        <w:object>
          <v:shape id="_x0000_i1066" o:spt="75" type="#_x0000_t75" style="height:18.3pt;width:18.3pt;" o:ole="t" filled="f" o:preferrelative="t" stroked="f" coordsize="21600,21600">
            <v:path/>
            <v:fill on="f" focussize="0,0"/>
            <v:stroke on="f" joinstyle="miter"/>
            <v:imagedata r:id="rId70" o:title=""/>
            <o:lock v:ext="edit" aspectratio="t"/>
            <w10:wrap type="none"/>
            <w10:anchorlock/>
          </v:shape>
          <o:OLEObject Type="Embed" ProgID="Equation.3" ShapeID="_x0000_i1066" DrawAspect="Content" ObjectID="_1468075763" r:id="rId87">
            <o:LockedField>false</o:LockedField>
          </o:OLEObject>
        </w:object>
      </w:r>
      <w:r>
        <w:rPr>
          <w:sz w:val="24"/>
        </w:rPr>
        <w:t>——</w:t>
      </w:r>
      <w:r>
        <w:rPr>
          <w:rFonts w:hint="eastAsia" w:ascii="宋体" w:hAnsi="宋体"/>
          <w:sz w:val="24"/>
        </w:rPr>
        <w:t>标准表外接的电流、电压传感器变比。当没有外接电流、电压传感器时，</w:t>
      </w:r>
      <w:r>
        <w:rPr>
          <w:rFonts w:ascii="宋体" w:hAnsi="宋体"/>
          <w:position w:val="-10"/>
          <w:sz w:val="24"/>
        </w:rPr>
        <w:object>
          <v:shape id="_x0000_i1067" o:spt="75" type="#_x0000_t75" style="height:16.65pt;width:15.8pt;" o:ole="t" filled="f" o:preferrelative="t" stroked="f" coordsize="21600,21600">
            <v:path/>
            <v:fill on="f" focussize="0,0"/>
            <v:stroke on="f" joinstyle="miter"/>
            <v:imagedata r:id="rId72" o:title=""/>
            <o:lock v:ext="edit" aspectratio="t"/>
            <w10:wrap type="none"/>
            <w10:anchorlock/>
          </v:shape>
          <o:OLEObject Type="Embed" ProgID="Equation.3" ShapeID="_x0000_i1067" DrawAspect="Content" ObjectID="_1468075764" r:id="rId88">
            <o:LockedField>false</o:LockedField>
          </o:OLEObject>
        </w:object>
      </w:r>
      <w:r>
        <w:rPr>
          <w:rFonts w:hint="eastAsia" w:ascii="宋体" w:hAnsi="宋体"/>
          <w:sz w:val="24"/>
        </w:rPr>
        <w:t>和</w:t>
      </w:r>
      <w:r>
        <w:rPr>
          <w:rFonts w:ascii="宋体" w:hAnsi="宋体"/>
          <w:position w:val="-12"/>
          <w:sz w:val="24"/>
        </w:rPr>
        <w:object>
          <v:shape id="_x0000_i1068" o:spt="75" type="#_x0000_t75" style="height:18.3pt;width:18.3pt;" o:ole="t" filled="f" o:preferrelative="t" stroked="f" coordsize="21600,21600">
            <v:path/>
            <v:fill on="f" focussize="0,0"/>
            <v:stroke on="f" joinstyle="miter"/>
            <v:imagedata r:id="rId74" o:title=""/>
            <o:lock v:ext="edit" aspectratio="t"/>
            <w10:wrap type="none"/>
            <w10:anchorlock/>
          </v:shape>
          <o:OLEObject Type="Embed" ProgID="Equation.3" ShapeID="_x0000_i1068" DrawAspect="Content" ObjectID="_1468075765" r:id="rId89">
            <o:LockedField>false</o:LockedField>
          </o:OLEObject>
        </w:object>
      </w:r>
      <w:r>
        <w:rPr>
          <w:rFonts w:hint="eastAsia" w:ascii="宋体" w:hAnsi="宋体"/>
          <w:sz w:val="24"/>
        </w:rPr>
        <w:t>都等于1。</w:t>
      </w:r>
    </w:p>
    <w:p w14:paraId="4633917D">
      <w:pPr>
        <w:spacing w:line="360" w:lineRule="auto"/>
        <w:ind w:firstLine="480" w:firstLineChars="200"/>
        <w:rPr>
          <w:sz w:val="24"/>
        </w:rPr>
      </w:pPr>
      <w:r>
        <w:rPr>
          <w:sz w:val="24"/>
        </w:rPr>
        <w:t>用自动方法控制标准测时器，被检电能表连续运行，测定时间不少于10s；若用手动方法控制标准测时器，被检电能表连续运行，测定时间不少于50s。</w:t>
      </w:r>
    </w:p>
    <w:p w14:paraId="43614A57">
      <w:pPr>
        <w:spacing w:line="360" w:lineRule="auto"/>
        <w:ind w:firstLine="480" w:firstLineChars="200"/>
        <w:rPr>
          <w:sz w:val="24"/>
        </w:rPr>
      </w:pPr>
      <w:r>
        <w:rPr>
          <w:sz w:val="24"/>
        </w:rPr>
        <w:t>若标准功率表或标准功率源所发功率脉冲序列不够均匀或其响应速度较慢，还需适当增加测量时间。</w:t>
      </w:r>
    </w:p>
    <w:p w14:paraId="5AF8D744">
      <w:pPr>
        <w:spacing w:line="360" w:lineRule="auto"/>
        <w:ind w:firstLine="480" w:firstLineChars="200"/>
        <w:rPr>
          <w:sz w:val="24"/>
        </w:rPr>
      </w:pPr>
      <w:r>
        <w:rPr>
          <w:rFonts w:hint="eastAsia"/>
          <w:sz w:val="24"/>
        </w:rPr>
        <w:t>功率表或功率源要求应符合 JJG 1186-2022 的规定。</w:t>
      </w:r>
    </w:p>
    <w:p w14:paraId="253BCF0E">
      <w:pPr>
        <w:pStyle w:val="5"/>
        <w:numPr>
          <w:ilvl w:val="0"/>
          <w:numId w:val="0"/>
        </w:numPr>
        <w:rPr>
          <w:rFonts w:ascii="Times New Roman" w:hAnsi="Times New Roman" w:eastAsia="宋体"/>
        </w:rPr>
      </w:pPr>
      <w:r>
        <w:rPr>
          <w:rFonts w:ascii="Times New Roman" w:hAnsi="Times New Roman" w:eastAsia="宋体"/>
        </w:rPr>
        <w:t>7.4.6.</w:t>
      </w:r>
      <w:r>
        <w:rPr>
          <w:rFonts w:hint="eastAsia" w:ascii="Times New Roman" w:hAnsi="Times New Roman" w:eastAsia="宋体"/>
        </w:rPr>
        <w:t xml:space="preserve">4  </w:t>
      </w:r>
      <w:r>
        <w:rPr>
          <w:rFonts w:ascii="Times New Roman" w:hAnsi="Times New Roman" w:eastAsia="宋体"/>
        </w:rPr>
        <w:t>重复测量次数原则</w:t>
      </w:r>
    </w:p>
    <w:p w14:paraId="028320C2">
      <w:pPr>
        <w:spacing w:line="360" w:lineRule="auto"/>
        <w:ind w:firstLine="480" w:firstLineChars="200"/>
        <w:rPr>
          <w:sz w:val="24"/>
        </w:rPr>
      </w:pPr>
      <w:r>
        <w:rPr>
          <w:sz w:val="24"/>
        </w:rPr>
        <w:t>每一个负载功率下，至少记录两次误差测定数据，取其平均值作为实测基本误差值。</w:t>
      </w:r>
    </w:p>
    <w:p w14:paraId="53239A51">
      <w:pPr>
        <w:pStyle w:val="43"/>
        <w:numPr>
          <w:ilvl w:val="0"/>
          <w:numId w:val="0"/>
        </w:numPr>
        <w:spacing w:line="360" w:lineRule="auto"/>
        <w:rPr>
          <w:rFonts w:eastAsia="宋体" w:cs="Times New Roman"/>
        </w:rPr>
      </w:pPr>
      <w:r>
        <w:rPr>
          <w:rFonts w:eastAsia="宋体" w:cs="Times New Roman"/>
        </w:rPr>
        <w:t>7.4.7</w:t>
      </w:r>
      <w:r>
        <w:rPr>
          <w:rFonts w:hint="eastAsia" w:eastAsia="宋体" w:cs="Times New Roman"/>
        </w:rPr>
        <w:t xml:space="preserve">  </w:t>
      </w:r>
      <w:r>
        <w:rPr>
          <w:rFonts w:eastAsia="宋体" w:cs="Times New Roman"/>
        </w:rPr>
        <w:t>仪表常数试验</w:t>
      </w:r>
    </w:p>
    <w:p w14:paraId="17E3EBE5">
      <w:pPr>
        <w:spacing w:line="360" w:lineRule="auto"/>
        <w:ind w:firstLine="480" w:firstLineChars="200"/>
        <w:rPr>
          <w:sz w:val="24"/>
        </w:rPr>
      </w:pPr>
      <w:r>
        <w:rPr>
          <w:rFonts w:eastAsia="黑体"/>
          <w:sz w:val="24"/>
        </w:rPr>
        <w:t>a)</w:t>
      </w:r>
      <w:r>
        <w:rPr>
          <w:rFonts w:hint="eastAsia" w:eastAsia="黑体"/>
          <w:sz w:val="24"/>
        </w:rPr>
        <w:t xml:space="preserve"> </w:t>
      </w:r>
      <w:r>
        <w:rPr>
          <w:sz w:val="24"/>
        </w:rPr>
        <w:t>计读脉冲法</w:t>
      </w:r>
    </w:p>
    <w:p w14:paraId="1079310D">
      <w:pPr>
        <w:adjustRightInd w:val="0"/>
        <w:snapToGrid w:val="0"/>
        <w:spacing w:line="360" w:lineRule="auto"/>
        <w:ind w:right="25" w:rightChars="12" w:firstLine="480" w:firstLineChars="200"/>
        <w:rPr>
          <w:sz w:val="24"/>
          <w:szCs w:val="24"/>
        </w:rPr>
      </w:pPr>
      <w:r>
        <w:rPr>
          <w:sz w:val="24"/>
          <w:szCs w:val="24"/>
        </w:rPr>
        <w:t>电能表施加标称电压、电流</w:t>
      </w:r>
      <w:r>
        <w:rPr>
          <w:i/>
          <w:iCs/>
          <w:sz w:val="24"/>
          <w:szCs w:val="24"/>
        </w:rPr>
        <w:t>I</w:t>
      </w:r>
      <w:r>
        <w:rPr>
          <w:sz w:val="24"/>
          <w:szCs w:val="24"/>
          <w:vertAlign w:val="subscript"/>
        </w:rPr>
        <w:t>max</w:t>
      </w:r>
      <w:r>
        <w:rPr>
          <w:sz w:val="24"/>
          <w:szCs w:val="24"/>
        </w:rPr>
        <w:t>，记录一段时间间隔内计度显示器（寄存器）记录的电能值</w:t>
      </w:r>
      <w:r>
        <w:rPr>
          <w:position w:val="-4"/>
        </w:rPr>
        <w:object>
          <v:shape id="_x0000_i1069" o:spt="75" type="#_x0000_t75" style="height:12.9pt;width:12.9pt;" o:ole="t" filled="f" o:preferrelative="t" stroked="f" coordsize="21600,21600">
            <v:path/>
            <v:fill on="f" focussize="0,0"/>
            <v:stroke on="f" joinstyle="miter"/>
            <v:imagedata r:id="rId91" o:title=""/>
            <o:lock v:ext="edit" aspectratio="t"/>
            <w10:wrap type="none"/>
            <w10:anchorlock/>
          </v:shape>
          <o:OLEObject Type="Embed" ProgID="Equation.DSMT4" ShapeID="_x0000_i1069" DrawAspect="Content" ObjectID="_1468075766" r:id="rId90">
            <o:LockedField>false</o:LockedField>
          </o:OLEObject>
        </w:object>
      </w:r>
      <w:r>
        <w:rPr>
          <w:sz w:val="24"/>
          <w:szCs w:val="24"/>
        </w:rPr>
        <w:t>以及测试输出的输出脉冲数（或转数）</w:t>
      </w:r>
      <w:r>
        <w:rPr>
          <w:i/>
          <w:sz w:val="24"/>
          <w:szCs w:val="24"/>
        </w:rPr>
        <w:t>N</w:t>
      </w:r>
      <w:r>
        <w:rPr>
          <w:sz w:val="24"/>
          <w:szCs w:val="24"/>
        </w:rPr>
        <w:t>，误差由式(9)确定：</w:t>
      </w:r>
    </w:p>
    <w:p w14:paraId="145B8542">
      <w:pPr>
        <w:adjustRightInd w:val="0"/>
        <w:snapToGrid w:val="0"/>
        <w:spacing w:line="360" w:lineRule="auto"/>
        <w:ind w:right="25" w:rightChars="12"/>
        <w:jc w:val="right"/>
        <w:rPr>
          <w:sz w:val="24"/>
          <w:szCs w:val="24"/>
        </w:rPr>
      </w:pPr>
      <w:r>
        <w:rPr>
          <w:position w:val="-24"/>
          <w:sz w:val="24"/>
          <w:szCs w:val="24"/>
        </w:rPr>
        <w:object>
          <v:shape id="_x0000_i1070" o:spt="75" type="#_x0000_t75" style="height:29.95pt;width:98.65pt;" o:ole="t" filled="f" o:preferrelative="t" stroked="f" coordsize="21600,21600">
            <v:path/>
            <v:fill on="f" focussize="0,0"/>
            <v:stroke on="f" joinstyle="miter"/>
            <v:imagedata r:id="rId93" o:title=""/>
            <o:lock v:ext="edit" aspectratio="t"/>
            <w10:wrap type="none"/>
            <w10:anchorlock/>
          </v:shape>
          <o:OLEObject Type="Embed" ProgID="Equation.DSMT4" ShapeID="_x0000_i1070" DrawAspect="Content" ObjectID="_1468075767" r:id="rId92">
            <o:LockedField>false</o:LockedField>
          </o:OLEObject>
        </w:object>
      </w:r>
      <w:r>
        <w:rPr>
          <w:sz w:val="24"/>
          <w:szCs w:val="24"/>
        </w:rPr>
        <w:t xml:space="preserve">                         (9)</w:t>
      </w:r>
    </w:p>
    <w:p w14:paraId="1613FE09">
      <w:pPr>
        <w:adjustRightInd w:val="0"/>
        <w:snapToGrid w:val="0"/>
        <w:spacing w:line="360" w:lineRule="auto"/>
        <w:ind w:right="25" w:rightChars="12" w:firstLine="480" w:firstLineChars="200"/>
        <w:rPr>
          <w:sz w:val="24"/>
          <w:szCs w:val="24"/>
        </w:rPr>
      </w:pPr>
      <w:r>
        <w:rPr>
          <w:sz w:val="24"/>
          <w:szCs w:val="24"/>
        </w:rPr>
        <w:t>式中：</w:t>
      </w:r>
    </w:p>
    <w:p w14:paraId="18055692">
      <w:pPr>
        <w:adjustRightInd w:val="0"/>
        <w:snapToGrid w:val="0"/>
        <w:spacing w:line="360" w:lineRule="auto"/>
        <w:ind w:right="25" w:rightChars="12" w:firstLine="480" w:firstLineChars="200"/>
        <w:rPr>
          <w:sz w:val="24"/>
        </w:rPr>
      </w:pPr>
      <w:r>
        <w:rPr>
          <w:i/>
          <w:sz w:val="24"/>
          <w:szCs w:val="24"/>
        </w:rPr>
        <w:t>e</w:t>
      </w:r>
      <w:r>
        <w:rPr>
          <w:sz w:val="24"/>
          <w:szCs w:val="24"/>
          <w:vertAlign w:val="subscript"/>
        </w:rPr>
        <w:t>c</w:t>
      </w:r>
      <w:bookmarkStart w:id="64" w:name="_Hlk131573775"/>
      <w:r>
        <w:rPr>
          <w:sz w:val="24"/>
        </w:rPr>
        <w:t>——</w:t>
      </w:r>
      <w:bookmarkEnd w:id="64"/>
      <w:r>
        <w:rPr>
          <w:sz w:val="24"/>
        </w:rPr>
        <w:t>仪表常数误差，%</w:t>
      </w:r>
    </w:p>
    <w:p w14:paraId="1FD6D477">
      <w:pPr>
        <w:adjustRightInd w:val="0"/>
        <w:snapToGrid w:val="0"/>
        <w:spacing w:line="360" w:lineRule="auto"/>
        <w:ind w:right="25" w:rightChars="12" w:firstLine="480" w:firstLineChars="200"/>
        <w:rPr>
          <w:sz w:val="24"/>
        </w:rPr>
      </w:pPr>
      <w:r>
        <w:rPr>
          <w:i/>
          <w:sz w:val="24"/>
          <w:szCs w:val="24"/>
        </w:rPr>
        <w:t>N</w:t>
      </w:r>
      <w:r>
        <w:rPr>
          <w:sz w:val="24"/>
        </w:rPr>
        <w:t>——测试输出的输出脉冲数；</w:t>
      </w:r>
    </w:p>
    <w:p w14:paraId="0FA1A044">
      <w:pPr>
        <w:adjustRightInd w:val="0"/>
        <w:snapToGrid w:val="0"/>
        <w:spacing w:line="360" w:lineRule="auto"/>
        <w:ind w:right="25" w:rightChars="12" w:firstLine="480" w:firstLineChars="200"/>
        <w:rPr>
          <w:iCs/>
          <w:sz w:val="24"/>
          <w:szCs w:val="24"/>
        </w:rPr>
      </w:pPr>
      <w:r>
        <w:rPr>
          <w:i/>
          <w:sz w:val="24"/>
          <w:szCs w:val="24"/>
        </w:rPr>
        <w:t>C</w:t>
      </w:r>
      <w:r>
        <w:rPr>
          <w:sz w:val="24"/>
        </w:rPr>
        <w:t>——</w:t>
      </w:r>
      <w:r>
        <w:rPr>
          <w:iCs/>
          <w:sz w:val="24"/>
          <w:szCs w:val="24"/>
        </w:rPr>
        <w:t>标识的仪表常数， imp/kWh；</w:t>
      </w:r>
    </w:p>
    <w:p w14:paraId="468E0BAC">
      <w:pPr>
        <w:adjustRightInd w:val="0"/>
        <w:snapToGrid w:val="0"/>
        <w:spacing w:line="360" w:lineRule="auto"/>
        <w:ind w:right="25" w:rightChars="12" w:firstLine="480" w:firstLineChars="200"/>
        <w:rPr>
          <w:i/>
          <w:sz w:val="24"/>
          <w:szCs w:val="24"/>
        </w:rPr>
      </w:pPr>
      <w:r>
        <w:rPr>
          <w:i/>
          <w:sz w:val="24"/>
          <w:szCs w:val="24"/>
        </w:rPr>
        <w:t>E</w:t>
      </w:r>
      <w:r>
        <w:rPr>
          <w:sz w:val="24"/>
        </w:rPr>
        <w:t>——计度显示器（</w:t>
      </w:r>
      <w:r>
        <w:rPr>
          <w:iCs/>
          <w:sz w:val="24"/>
          <w:szCs w:val="24"/>
        </w:rPr>
        <w:t>寄存器）记录的电能值， kWh。</w:t>
      </w:r>
    </w:p>
    <w:p w14:paraId="52629D73">
      <w:pPr>
        <w:adjustRightInd w:val="0"/>
        <w:snapToGrid w:val="0"/>
        <w:spacing w:line="360" w:lineRule="auto"/>
        <w:ind w:right="25" w:rightChars="12" w:firstLine="480" w:firstLineChars="200"/>
        <w:rPr>
          <w:sz w:val="24"/>
          <w:szCs w:val="24"/>
        </w:rPr>
      </w:pPr>
      <w:r>
        <w:rPr>
          <w:sz w:val="24"/>
          <w:szCs w:val="24"/>
        </w:rPr>
        <w:t>误差</w:t>
      </w:r>
      <w:r>
        <w:rPr>
          <w:i/>
          <w:sz w:val="24"/>
          <w:szCs w:val="24"/>
        </w:rPr>
        <w:t>e</w:t>
      </w:r>
      <w:r>
        <w:rPr>
          <w:sz w:val="24"/>
          <w:szCs w:val="24"/>
          <w:vertAlign w:val="subscript"/>
        </w:rPr>
        <w:t>c</w:t>
      </w:r>
      <w:r>
        <w:rPr>
          <w:sz w:val="24"/>
          <w:szCs w:val="24"/>
        </w:rPr>
        <w:t>的值不应超过基本最大允许误差的10%。</w:t>
      </w:r>
    </w:p>
    <w:p w14:paraId="2C3F280F">
      <w:pPr>
        <w:adjustRightInd w:val="0"/>
        <w:snapToGrid w:val="0"/>
        <w:spacing w:line="360" w:lineRule="auto"/>
        <w:ind w:right="25" w:rightChars="12" w:firstLine="480" w:firstLineChars="200"/>
        <w:rPr>
          <w:sz w:val="24"/>
          <w:szCs w:val="24"/>
        </w:rPr>
      </w:pPr>
      <w:r>
        <w:rPr>
          <w:sz w:val="24"/>
          <w:szCs w:val="24"/>
        </w:rPr>
        <w:t>要求记录的最小电能值为：</w:t>
      </w:r>
    </w:p>
    <w:p w14:paraId="0DF094C7">
      <w:pPr>
        <w:adjustRightInd w:val="0"/>
        <w:snapToGrid w:val="0"/>
        <w:spacing w:line="360" w:lineRule="auto"/>
        <w:jc w:val="right"/>
        <w:rPr>
          <w:rFonts w:hint="eastAsia" w:ascii="宋体" w:hAnsi="宋体"/>
          <w:color w:val="44546A"/>
          <w:sz w:val="24"/>
          <w:szCs w:val="24"/>
        </w:rPr>
      </w:pPr>
      <w:r>
        <w:rPr>
          <w:rFonts w:ascii="宋体" w:hAnsi="宋体"/>
          <w:color w:val="44546A"/>
          <w:position w:val="-24"/>
          <w:sz w:val="24"/>
          <w:szCs w:val="24"/>
        </w:rPr>
        <w:object>
          <v:shape id="_x0000_i1071" o:spt="75" type="#_x0000_t75" style="height:29.95pt;width:73.65pt;" o:ole="t" filled="f" o:preferrelative="t" stroked="f" coordsize="21600,21600">
            <v:path/>
            <v:fill on="f" focussize="0,0"/>
            <v:stroke on="f" joinstyle="miter"/>
            <v:imagedata r:id="rId95" o:title=""/>
            <o:lock v:ext="edit" aspectratio="t"/>
            <w10:wrap type="none"/>
            <w10:anchorlock/>
          </v:shape>
          <o:OLEObject Type="Embed" ProgID="Equation.DSMT4" ShapeID="_x0000_i1071" DrawAspect="Content" ObjectID="_1468075768" r:id="rId94">
            <o:LockedField>false</o:LockedField>
          </o:OLEObject>
        </w:object>
      </w:r>
      <w:r>
        <w:rPr>
          <w:rFonts w:ascii="宋体" w:hAnsi="宋体"/>
          <w:color w:val="44546A"/>
          <w:sz w:val="24"/>
          <w:szCs w:val="24"/>
        </w:rPr>
        <w:t xml:space="preserve">            </w:t>
      </w:r>
      <w:r>
        <w:rPr>
          <w:rFonts w:hint="eastAsia" w:ascii="宋体" w:hAnsi="宋体"/>
          <w:color w:val="44546A"/>
          <w:sz w:val="24"/>
          <w:szCs w:val="24"/>
        </w:rPr>
        <w:t xml:space="preserve"> </w:t>
      </w:r>
      <w:r>
        <w:rPr>
          <w:rFonts w:ascii="宋体" w:hAnsi="宋体"/>
          <w:color w:val="44546A"/>
          <w:sz w:val="24"/>
          <w:szCs w:val="24"/>
        </w:rPr>
        <w:t xml:space="preserve">           </w:t>
      </w:r>
      <w:r>
        <w:rPr>
          <w:rFonts w:hint="eastAsia" w:ascii="宋体" w:hAnsi="宋体"/>
          <w:color w:val="44546A"/>
          <w:sz w:val="24"/>
          <w:szCs w:val="24"/>
        </w:rPr>
        <w:t>（10）</w:t>
      </w:r>
    </w:p>
    <w:p w14:paraId="61885B26">
      <w:pPr>
        <w:adjustRightInd w:val="0"/>
        <w:snapToGrid w:val="0"/>
        <w:spacing w:line="360" w:lineRule="auto"/>
        <w:ind w:right="25" w:rightChars="12" w:firstLine="480" w:firstLineChars="200"/>
        <w:rPr>
          <w:sz w:val="24"/>
          <w:szCs w:val="24"/>
        </w:rPr>
      </w:pPr>
      <w:r>
        <w:rPr>
          <w:sz w:val="24"/>
          <w:szCs w:val="24"/>
        </w:rPr>
        <w:t>其中：</w:t>
      </w:r>
    </w:p>
    <w:p w14:paraId="471DBE3C">
      <w:pPr>
        <w:adjustRightInd w:val="0"/>
        <w:snapToGrid w:val="0"/>
        <w:spacing w:line="360" w:lineRule="auto"/>
        <w:ind w:right="25" w:rightChars="12" w:firstLine="420" w:firstLineChars="200"/>
        <w:rPr>
          <w:sz w:val="24"/>
          <w:szCs w:val="24"/>
        </w:rPr>
      </w:pPr>
      <w:r>
        <w:rPr>
          <w:position w:val="-12"/>
        </w:rPr>
        <w:object>
          <v:shape id="_x0000_i1072" o:spt="75" type="#_x0000_t75" style="height:18.3pt;width:23.3pt;" o:ole="t" filled="f" o:preferrelative="t" stroked="f" coordsize="21600,21600">
            <v:path/>
            <v:fill on="f" focussize="0,0"/>
            <v:stroke on="f" joinstyle="miter"/>
            <v:imagedata r:id="rId97" o:title=""/>
            <o:lock v:ext="edit" aspectratio="t"/>
            <w10:wrap type="none"/>
            <w10:anchorlock/>
          </v:shape>
          <o:OLEObject Type="Embed" ProgID="Equation.DSMT4" ShapeID="_x0000_i1072" DrawAspect="Content" ObjectID="_1468075769" r:id="rId96">
            <o:LockedField>false</o:LockedField>
          </o:OLEObject>
        </w:object>
      </w:r>
      <w:r>
        <w:rPr>
          <w:sz w:val="24"/>
        </w:rPr>
        <w:t>——</w:t>
      </w:r>
      <w:r>
        <w:rPr>
          <w:sz w:val="24"/>
          <w:szCs w:val="24"/>
        </w:rPr>
        <w:t>最小电能值，kWh；</w:t>
      </w:r>
    </w:p>
    <w:p w14:paraId="5B17E02F">
      <w:pPr>
        <w:adjustRightInd w:val="0"/>
        <w:snapToGrid w:val="0"/>
        <w:spacing w:line="360" w:lineRule="auto"/>
        <w:ind w:right="25" w:rightChars="12" w:firstLine="480" w:firstLineChars="200"/>
        <w:rPr>
          <w:sz w:val="24"/>
          <w:szCs w:val="24"/>
        </w:rPr>
      </w:pPr>
      <w:r>
        <w:rPr>
          <w:i/>
          <w:sz w:val="24"/>
          <w:szCs w:val="24"/>
        </w:rPr>
        <w:t>R</w:t>
      </w:r>
      <w:r>
        <w:rPr>
          <w:sz w:val="24"/>
        </w:rPr>
        <w:t>——</w:t>
      </w:r>
      <w:r>
        <w:rPr>
          <w:sz w:val="24"/>
          <w:szCs w:val="24"/>
        </w:rPr>
        <w:t>总计度显示器（寄存器</w:t>
      </w:r>
      <w:r>
        <w:rPr>
          <w:sz w:val="24"/>
          <w:szCs w:val="24"/>
          <w:vertAlign w:val="superscript"/>
        </w:rPr>
        <w:t>(1)</w:t>
      </w:r>
      <w:r>
        <w:rPr>
          <w:sz w:val="24"/>
          <w:szCs w:val="24"/>
        </w:rPr>
        <w:t xml:space="preserve"> ）的可见分辨力，kWh；</w:t>
      </w:r>
    </w:p>
    <w:p w14:paraId="3E00437D">
      <w:pPr>
        <w:adjustRightInd w:val="0"/>
        <w:snapToGrid w:val="0"/>
        <w:spacing w:line="360" w:lineRule="auto"/>
        <w:ind w:right="25" w:rightChars="12" w:firstLine="480" w:firstLineChars="200"/>
        <w:rPr>
          <w:sz w:val="24"/>
        </w:rPr>
      </w:pPr>
      <w:r>
        <w:rPr>
          <w:i/>
          <w:sz w:val="24"/>
        </w:rPr>
        <w:t>b</w:t>
      </w:r>
      <w:r>
        <w:rPr>
          <w:sz w:val="24"/>
        </w:rPr>
        <w:t>——</w:t>
      </w:r>
      <w:bookmarkStart w:id="65" w:name="_Hlk131580420"/>
      <w:r>
        <w:rPr>
          <w:color w:val="000000"/>
          <w:sz w:val="24"/>
        </w:rPr>
        <w:t>在电流值</w:t>
      </w:r>
      <w:bookmarkEnd w:id="65"/>
      <w:r>
        <w:rPr>
          <w:i/>
          <w:color w:val="000000"/>
          <w:sz w:val="24"/>
        </w:rPr>
        <w:t>I</w:t>
      </w:r>
      <w:r>
        <w:rPr>
          <w:color w:val="000000"/>
          <w:sz w:val="24"/>
          <w:vertAlign w:val="subscript"/>
        </w:rPr>
        <w:t>max</w:t>
      </w:r>
      <w:r>
        <w:rPr>
          <w:color w:val="000000"/>
          <w:sz w:val="24"/>
        </w:rPr>
        <w:t>时的最大允许误差</w:t>
      </w:r>
      <w:bookmarkStart w:id="66" w:name="_Hlk131580447"/>
      <w:r>
        <w:rPr>
          <w:color w:val="000000"/>
          <w:sz w:val="24"/>
        </w:rPr>
        <w:t>，取正值，%</w:t>
      </w:r>
      <w:bookmarkEnd w:id="66"/>
      <w:r>
        <w:rPr>
          <w:color w:val="000000"/>
          <w:sz w:val="24"/>
        </w:rPr>
        <w:t>。</w:t>
      </w:r>
    </w:p>
    <w:p w14:paraId="36A61FF3">
      <w:pPr>
        <w:adjustRightInd w:val="0"/>
        <w:snapToGrid w:val="0"/>
        <w:spacing w:line="360" w:lineRule="auto"/>
        <w:ind w:right="25" w:rightChars="12" w:firstLine="420" w:firstLineChars="200"/>
        <w:rPr>
          <w:rFonts w:eastAsia="仿宋"/>
          <w:szCs w:val="21"/>
        </w:rPr>
      </w:pPr>
      <w:r>
        <w:rPr>
          <w:rFonts w:eastAsia="仿宋"/>
          <w:szCs w:val="21"/>
        </w:rPr>
        <w:t>注：（1）可使用任何方式提高寄存器的可见分辨力</w:t>
      </w:r>
      <w:r>
        <w:rPr>
          <w:rFonts w:eastAsia="仿宋"/>
          <w:i/>
          <w:szCs w:val="21"/>
        </w:rPr>
        <w:t>R</w:t>
      </w:r>
      <w:r>
        <w:rPr>
          <w:rFonts w:eastAsia="仿宋"/>
          <w:szCs w:val="21"/>
        </w:rPr>
        <w:t>，只要注意保证其结果反映了寄存器的真实分辨力。</w:t>
      </w:r>
    </w:p>
    <w:p w14:paraId="7AB76471">
      <w:pPr>
        <w:spacing w:line="360" w:lineRule="auto"/>
        <w:ind w:firstLine="480" w:firstLineChars="200"/>
        <w:rPr>
          <w:sz w:val="24"/>
        </w:rPr>
      </w:pPr>
      <w:r>
        <w:rPr>
          <w:rFonts w:hint="eastAsia"/>
          <w:sz w:val="24"/>
        </w:rPr>
        <w:t>b) 走字试验法</w:t>
      </w:r>
    </w:p>
    <w:p w14:paraId="68953949">
      <w:pPr>
        <w:spacing w:line="360" w:lineRule="auto"/>
        <w:ind w:firstLine="437"/>
        <w:rPr>
          <w:sz w:val="24"/>
        </w:rPr>
      </w:pPr>
      <w:r>
        <w:rPr>
          <w:sz w:val="24"/>
        </w:rPr>
        <w:t>在规格相同的一批被检电能表中，选用误差较稳定（在试验期间误差的变化不超过1/6基本误差限）而常数已知的两只电能表作为参照表。各表电流线路串连而电压线路并联，在参比电压和最大电流的条件下，当计度器末位（是否是小数位无关）改变不少于15（对0.2和0.5级表）或10（对1）个数字时，参照表与其它表的示数（通电前后示值之差）应符合式（</w:t>
      </w:r>
      <w:r>
        <w:rPr>
          <w:rFonts w:hint="eastAsia"/>
          <w:sz w:val="24"/>
        </w:rPr>
        <w:t>11</w:t>
      </w:r>
      <w:r>
        <w:rPr>
          <w:sz w:val="24"/>
        </w:rPr>
        <w:t>）要求：</w:t>
      </w:r>
    </w:p>
    <w:p w14:paraId="3FC397A3">
      <w:pPr>
        <w:spacing w:line="360" w:lineRule="auto"/>
        <w:jc w:val="right"/>
        <w:rPr>
          <w:sz w:val="24"/>
        </w:rPr>
      </w:pPr>
      <w:r>
        <w:rPr>
          <w:rFonts w:ascii="宋体" w:hAnsi="宋体"/>
          <w:position w:val="-10"/>
          <w:sz w:val="24"/>
        </w:rPr>
        <w:object>
          <v:shape id="_x0000_i1073" o:spt="75" type="#_x0000_t75" style="height:13.3pt;width:10pt;" o:ole="t" filled="f" o:preferrelative="t" stroked="f" coordsize="21600,21600">
            <v:path/>
            <v:fill on="f" focussize="0,0"/>
            <v:stroke on="f" joinstyle="miter"/>
            <v:imagedata r:id="rId99" o:title=""/>
            <o:lock v:ext="edit" aspectratio="t"/>
            <w10:wrap type="none"/>
            <w10:anchorlock/>
          </v:shape>
          <o:OLEObject Type="Embed" ProgID="Equation.3" ShapeID="_x0000_i1073" DrawAspect="Content" ObjectID="_1468075770" r:id="rId98">
            <o:LockedField>false</o:LockedField>
          </o:OLEObject>
        </w:object>
      </w:r>
      <w:r>
        <w:rPr>
          <w:rFonts w:ascii="宋体" w:hAnsi="宋体"/>
          <w:sz w:val="24"/>
        </w:rPr>
        <w:t>=</w:t>
      </w:r>
      <w:r>
        <w:rPr>
          <w:rFonts w:ascii="宋体" w:hAnsi="宋体"/>
          <w:position w:val="-30"/>
          <w:sz w:val="24"/>
        </w:rPr>
        <w:object>
          <v:shape id="_x0000_i1074" o:spt="75" type="#_x0000_t75" style="height:34.95pt;width:43.7pt;" o:ole="t" filled="f" o:preferrelative="t" stroked="f" coordsize="21600,21600">
            <v:path/>
            <v:fill on="f" focussize="0,0"/>
            <v:stroke on="f" joinstyle="miter"/>
            <v:imagedata r:id="rId101" o:title=""/>
            <o:lock v:ext="edit" aspectratio="t"/>
            <w10:wrap type="none"/>
            <w10:anchorlock/>
          </v:shape>
          <o:OLEObject Type="Embed" ProgID="Equation.3" ShapeID="_x0000_i1074" DrawAspect="Content" ObjectID="_1468075771" r:id="rId100">
            <o:LockedField>false</o:LockedField>
          </o:OLEObject>
        </w:object>
      </w:r>
      <w:r>
        <w:rPr>
          <w:rFonts w:hint="eastAsia" w:ascii="宋体" w:hAnsi="宋体"/>
          <w:sz w:val="24"/>
        </w:rPr>
        <w:t>×</w:t>
      </w:r>
      <w:r>
        <w:rPr>
          <w:rFonts w:ascii="宋体" w:hAnsi="宋体"/>
          <w:sz w:val="24"/>
        </w:rPr>
        <w:t>100+</w:t>
      </w:r>
      <w:r>
        <w:rPr>
          <w:position w:val="-12"/>
          <w:sz w:val="24"/>
        </w:rPr>
        <w:object>
          <v:shape id="_x0000_i1075" o:spt="75" type="#_x0000_t75" style="height:18.3pt;width:13.3pt;" o:ole="t" filled="f" o:preferrelative="t" stroked="f" coordsize="21600,21600">
            <v:path/>
            <v:fill on="f" focussize="0,0"/>
            <v:stroke on="f" joinstyle="miter"/>
            <v:imagedata r:id="rId103" o:title=""/>
            <o:lock v:ext="edit" aspectratio="t"/>
            <w10:wrap type="none"/>
            <w10:anchorlock/>
          </v:shape>
          <o:OLEObject Type="Embed" ProgID="Equation.3" ShapeID="_x0000_i1075" DrawAspect="Content" ObjectID="_1468075772" r:id="rId102">
            <o:LockedField>false</o:LockedField>
          </o:OLEObject>
        </w:object>
      </w:r>
      <w:r>
        <w:rPr>
          <w:rFonts w:hAnsi="宋体"/>
          <w:szCs w:val="21"/>
        </w:rPr>
        <w:t>≤</w:t>
      </w:r>
      <w:r>
        <w:rPr>
          <w:sz w:val="24"/>
        </w:rPr>
        <w:t>1.5</w:t>
      </w:r>
      <w:r>
        <w:rPr>
          <w:i/>
          <w:sz w:val="24"/>
        </w:rPr>
        <w:t>E</w:t>
      </w:r>
      <w:r>
        <w:rPr>
          <w:sz w:val="24"/>
          <w:vertAlign w:val="subscript"/>
        </w:rPr>
        <w:t>b</w:t>
      </w:r>
      <w:r>
        <w:rPr>
          <w:sz w:val="24"/>
        </w:rPr>
        <w:t>（%）                （</w:t>
      </w:r>
      <w:r>
        <w:rPr>
          <w:rFonts w:hint="eastAsia"/>
          <w:sz w:val="24"/>
        </w:rPr>
        <w:t>11</w:t>
      </w:r>
      <w:r>
        <w:rPr>
          <w:sz w:val="24"/>
        </w:rPr>
        <w:t>）</w:t>
      </w:r>
    </w:p>
    <w:p w14:paraId="4D9D1431">
      <w:pPr>
        <w:spacing w:line="360" w:lineRule="auto"/>
        <w:ind w:firstLine="720" w:firstLineChars="300"/>
        <w:rPr>
          <w:sz w:val="24"/>
        </w:rPr>
      </w:pPr>
      <w:r>
        <w:rPr>
          <w:sz w:val="24"/>
        </w:rPr>
        <w:t xml:space="preserve">式中：  </w:t>
      </w:r>
      <w:r>
        <w:rPr>
          <w:i/>
          <w:sz w:val="24"/>
        </w:rPr>
        <w:t>E</w:t>
      </w:r>
      <w:r>
        <w:rPr>
          <w:sz w:val="24"/>
          <w:vertAlign w:val="subscript"/>
        </w:rPr>
        <w:t>b</w:t>
      </w:r>
      <w:r>
        <w:rPr>
          <w:sz w:val="24"/>
        </w:rPr>
        <w:t>——</w:t>
      </w:r>
      <w:r>
        <w:rPr>
          <w:rFonts w:hint="eastAsia"/>
          <w:sz w:val="24"/>
        </w:rPr>
        <w:t>在电流值</w:t>
      </w:r>
      <w:r>
        <w:rPr>
          <w:sz w:val="24"/>
        </w:rPr>
        <w:t xml:space="preserve"> </w:t>
      </w:r>
      <w:r>
        <w:rPr>
          <w:i/>
          <w:iCs/>
          <w:sz w:val="24"/>
        </w:rPr>
        <w:t>I</w:t>
      </w:r>
      <w:r>
        <w:rPr>
          <w:sz w:val="24"/>
          <w:vertAlign w:val="subscript"/>
        </w:rPr>
        <w:t>max</w:t>
      </w:r>
      <w:r>
        <w:rPr>
          <w:rFonts w:hint="eastAsia"/>
          <w:sz w:val="24"/>
        </w:rPr>
        <w:t>时的最大允许误差，取正值，</w:t>
      </w:r>
      <w:r>
        <w:rPr>
          <w:sz w:val="24"/>
        </w:rPr>
        <w:t>%</w:t>
      </w:r>
      <w:r>
        <w:rPr>
          <w:rFonts w:hint="eastAsia"/>
          <w:sz w:val="24"/>
        </w:rPr>
        <w:t>；</w:t>
      </w:r>
    </w:p>
    <w:p w14:paraId="1E1C7CAF">
      <w:pPr>
        <w:spacing w:line="360" w:lineRule="auto"/>
        <w:ind w:firstLine="1560" w:firstLineChars="650"/>
        <w:rPr>
          <w:sz w:val="24"/>
        </w:rPr>
      </w:pPr>
      <w:r>
        <w:rPr>
          <w:position w:val="-12"/>
          <w:sz w:val="24"/>
        </w:rPr>
        <w:object>
          <v:shape id="_x0000_i1076" o:spt="75" type="#_x0000_t75" style="height:18.3pt;width:16.65pt;" o:ole="t" filled="f" o:preferrelative="t" stroked="f" coordsize="21600,21600">
            <v:path/>
            <v:fill on="f" focussize="0,0"/>
            <v:stroke on="f" joinstyle="miter"/>
            <v:imagedata r:id="rId105" o:title=""/>
            <o:lock v:ext="edit" aspectratio="t"/>
            <w10:wrap type="none"/>
            <w10:anchorlock/>
          </v:shape>
          <o:OLEObject Type="Embed" ProgID="Equation.3" ShapeID="_x0000_i1076" DrawAspect="Content" ObjectID="_1468075773" r:id="rId104">
            <o:LockedField>false</o:LockedField>
          </o:OLEObject>
        </w:object>
      </w:r>
      <w:r>
        <w:rPr>
          <w:sz w:val="24"/>
        </w:rPr>
        <w:t>——两只参照表示数的平均值；</w:t>
      </w:r>
    </w:p>
    <w:p w14:paraId="45E81A18">
      <w:pPr>
        <w:spacing w:line="360" w:lineRule="auto"/>
        <w:ind w:firstLine="1608" w:firstLineChars="670"/>
        <w:rPr>
          <w:sz w:val="24"/>
        </w:rPr>
      </w:pPr>
      <w:r>
        <w:rPr>
          <w:position w:val="-12"/>
          <w:sz w:val="24"/>
        </w:rPr>
        <w:object>
          <v:shape id="_x0000_i1077" o:spt="75" type="#_x0000_t75" style="height:18.3pt;width:13.3pt;" o:ole="t" filled="f" o:preferrelative="t" stroked="f" coordsize="21600,21600">
            <v:path/>
            <v:fill on="f" focussize="0,0"/>
            <v:stroke on="f" joinstyle="miter"/>
            <v:imagedata r:id="rId107" o:title=""/>
            <o:lock v:ext="edit" aspectratio="t"/>
            <w10:wrap type="none"/>
            <w10:anchorlock/>
          </v:shape>
          <o:OLEObject Type="Embed" ProgID="Equation.3" ShapeID="_x0000_i1077" DrawAspect="Content" ObjectID="_1468075774" r:id="rId106">
            <o:LockedField>false</o:LockedField>
          </o:OLEObject>
        </w:object>
      </w:r>
      <w:r>
        <w:rPr>
          <w:sz w:val="24"/>
        </w:rPr>
        <w:t>——两只参照表相对误差的平均值，</w:t>
      </w:r>
      <w:r>
        <w:rPr>
          <w:rFonts w:hint="eastAsia"/>
          <w:sz w:val="24"/>
        </w:rPr>
        <w:t>取正值，</w:t>
      </w:r>
      <w:r>
        <w:rPr>
          <w:sz w:val="24"/>
        </w:rPr>
        <w:t>%；</w:t>
      </w:r>
    </w:p>
    <w:p w14:paraId="28593B36">
      <w:pPr>
        <w:spacing w:line="360" w:lineRule="auto"/>
        <w:ind w:firstLine="1560" w:firstLineChars="650"/>
        <w:rPr>
          <w:rFonts w:hint="eastAsia"/>
          <w:sz w:val="24"/>
        </w:rPr>
      </w:pPr>
      <w:r>
        <w:rPr>
          <w:position w:val="-12"/>
          <w:sz w:val="24"/>
        </w:rPr>
        <w:object>
          <v:shape id="_x0000_i1078" o:spt="75" type="#_x0000_t75" style="height:18.3pt;width:15pt;" o:ole="t" filled="f" o:preferrelative="t" stroked="f" coordsize="21600,21600">
            <v:path/>
            <v:fill on="f" focussize="0,0"/>
            <v:stroke on="f" joinstyle="miter"/>
            <v:imagedata r:id="rId109" o:title=""/>
            <o:lock v:ext="edit" aspectratio="t"/>
            <w10:wrap type="none"/>
            <w10:anchorlock/>
          </v:shape>
          <o:OLEObject Type="Embed" ProgID="Equation.3" ShapeID="_x0000_i1078" DrawAspect="Content" ObjectID="_1468075775" r:id="rId108">
            <o:LockedField>false</o:LockedField>
          </o:OLEObject>
        </w:object>
      </w:r>
      <w:r>
        <w:rPr>
          <w:sz w:val="24"/>
        </w:rPr>
        <w:t>——第</w:t>
      </w:r>
      <w:r>
        <w:rPr>
          <w:position w:val="-6"/>
          <w:sz w:val="24"/>
        </w:rPr>
        <w:object>
          <v:shape id="_x0000_i1079" o:spt="75" type="#_x0000_t75" style="height:13.3pt;width:6.65pt;" o:ole="t" filled="f" o:preferrelative="t" stroked="f" coordsize="21600,21600">
            <v:path/>
            <v:fill on="f" focussize="0,0"/>
            <v:stroke on="f" joinstyle="miter"/>
            <v:imagedata r:id="rId111" o:title=""/>
            <o:lock v:ext="edit" aspectratio="t"/>
            <w10:wrap type="none"/>
            <w10:anchorlock/>
          </v:shape>
          <o:OLEObject Type="Embed" ProgID="Equation.3" ShapeID="_x0000_i1079" DrawAspect="Content" ObjectID="_1468075776" r:id="rId110">
            <o:LockedField>false</o:LockedField>
          </o:OLEObject>
        </w:object>
      </w:r>
      <w:r>
        <w:rPr>
          <w:sz w:val="24"/>
        </w:rPr>
        <w:t>只被检电能表示数（</w:t>
      </w:r>
      <w:r>
        <w:rPr>
          <w:position w:val="-6"/>
          <w:sz w:val="24"/>
        </w:rPr>
        <w:object>
          <v:shape id="_x0000_i1080" o:spt="75" type="#_x0000_t75" style="height:13.3pt;width:6.65pt;" o:ole="t" filled="f" o:preferrelative="t" stroked="f" coordsize="21600,21600">
            <v:path/>
            <v:fill on="f" focussize="0,0"/>
            <v:stroke on="f" joinstyle="miter"/>
            <v:imagedata r:id="rId113" o:title=""/>
            <o:lock v:ext="edit" aspectratio="t"/>
            <w10:wrap type="none"/>
            <w10:anchorlock/>
          </v:shape>
          <o:OLEObject Type="Embed" ProgID="Equation.3" ShapeID="_x0000_i1080" DrawAspect="Content" ObjectID="_1468075777" r:id="rId112">
            <o:LockedField>false</o:LockedField>
          </o:OLEObject>
        </w:object>
      </w:r>
      <w:r>
        <w:rPr>
          <w:sz w:val="24"/>
        </w:rPr>
        <w:t xml:space="preserve">=1,2,……, </w:t>
      </w:r>
      <w:r>
        <w:rPr>
          <w:position w:val="-6"/>
          <w:sz w:val="24"/>
        </w:rPr>
        <w:object>
          <v:shape id="_x0000_i1081" o:spt="75" type="#_x0000_t75" style="height:10.8pt;width:10pt;" o:ole="t" filled="f" o:preferrelative="t" stroked="f" coordsize="21600,21600">
            <v:path/>
            <v:fill on="f" focussize="0,0"/>
            <v:stroke on="f" joinstyle="miter"/>
            <v:imagedata r:id="rId115" o:title=""/>
            <o:lock v:ext="edit" aspectratio="t"/>
            <w10:wrap type="none"/>
            <w10:anchorlock/>
          </v:shape>
          <o:OLEObject Type="Embed" ProgID="Equation.3" ShapeID="_x0000_i1081" DrawAspect="Content" ObjectID="_1468075778" r:id="rId114">
            <o:LockedField>false</o:LockedField>
          </o:OLEObject>
        </w:object>
      </w:r>
      <w:r>
        <w:rPr>
          <w:sz w:val="24"/>
        </w:rPr>
        <w:t>）。</w:t>
      </w:r>
    </w:p>
    <w:p w14:paraId="02414676">
      <w:pPr>
        <w:spacing w:line="360" w:lineRule="auto"/>
        <w:ind w:firstLine="435"/>
        <w:rPr>
          <w:sz w:val="24"/>
        </w:rPr>
      </w:pPr>
      <w:r>
        <w:rPr>
          <w:sz w:val="24"/>
        </w:rPr>
        <w:t>c) 标准表法</w:t>
      </w:r>
    </w:p>
    <w:p w14:paraId="1D38C70E">
      <w:pPr>
        <w:spacing w:line="360" w:lineRule="auto"/>
        <w:ind w:firstLine="435"/>
        <w:rPr>
          <w:sz w:val="24"/>
        </w:rPr>
      </w:pPr>
      <w:r>
        <w:rPr>
          <w:sz w:val="24"/>
        </w:rPr>
        <w:t>对标志完全相同的一批被检电能表，可用一台标准电能表校核常数。将各被检表与标准表的电流线路串联，电压线路并联，在参比电压和最大电流的条件下</w:t>
      </w:r>
      <w:r>
        <w:rPr>
          <w:rFonts w:hint="eastAsia"/>
          <w:sz w:val="24"/>
        </w:rPr>
        <w:t>，</w:t>
      </w:r>
      <w:r>
        <w:rPr>
          <w:sz w:val="24"/>
        </w:rPr>
        <w:t>运行一段时间。停止运行后，按式（</w:t>
      </w:r>
      <w:r>
        <w:rPr>
          <w:rFonts w:hint="eastAsia"/>
          <w:sz w:val="24"/>
        </w:rPr>
        <w:t>12</w:t>
      </w:r>
      <w:r>
        <w:rPr>
          <w:sz w:val="24"/>
        </w:rPr>
        <w:t>）计算每个被检表的误差</w:t>
      </w:r>
      <w:r>
        <w:rPr>
          <w:i/>
          <w:iCs/>
          <w:sz w:val="24"/>
        </w:rPr>
        <w:t>γ</w:t>
      </w:r>
      <w:r>
        <w:rPr>
          <w:sz w:val="24"/>
        </w:rPr>
        <w:t>，要求</w:t>
      </w:r>
      <w:r>
        <w:rPr>
          <w:i/>
          <w:iCs/>
          <w:sz w:val="24"/>
        </w:rPr>
        <w:t>γ</w:t>
      </w:r>
      <w:r>
        <w:rPr>
          <w:sz w:val="24"/>
        </w:rPr>
        <w:t>不超过基本误差限。</w:t>
      </w:r>
    </w:p>
    <w:p w14:paraId="263921AE">
      <w:pPr>
        <w:wordWrap w:val="0"/>
        <w:spacing w:line="360" w:lineRule="auto"/>
        <w:jc w:val="right"/>
        <w:rPr>
          <w:sz w:val="24"/>
        </w:rPr>
      </w:pPr>
      <w:r>
        <w:rPr>
          <w:rFonts w:hint="eastAsia" w:ascii="宋体" w:hAnsi="宋体"/>
          <w:sz w:val="24"/>
        </w:rPr>
        <w:t xml:space="preserve">                 </w:t>
      </w:r>
      <w:r>
        <w:rPr>
          <w:rFonts w:ascii="宋体" w:hAnsi="宋体"/>
          <w:position w:val="-24"/>
          <w:sz w:val="24"/>
        </w:rPr>
        <w:object>
          <v:shape id="_x0000_i1082" o:spt="75" type="#_x0000_t75" style="height:33.7pt;width:109.45pt;" o:ole="t" filled="f" o:preferrelative="t" stroked="f" coordsize="21600,21600">
            <v:path/>
            <v:fill on="f" focussize="0,0"/>
            <v:stroke on="f" joinstyle="miter"/>
            <v:imagedata r:id="rId117" o:title=""/>
            <o:lock v:ext="edit" aspectratio="t"/>
            <w10:wrap type="none"/>
            <w10:anchorlock/>
          </v:shape>
          <o:OLEObject Type="Embed" ProgID="Equation.3" ShapeID="_x0000_i1082" DrawAspect="Content" ObjectID="_1468075779" r:id="rId116">
            <o:LockedField>false</o:LockedField>
          </o:OLEObject>
        </w:object>
      </w:r>
      <w:r>
        <w:rPr>
          <w:rFonts w:hint="eastAsia" w:ascii="宋体" w:hAnsi="宋体"/>
          <w:sz w:val="24"/>
        </w:rPr>
        <w:t xml:space="preserve">  （%）                 </w:t>
      </w:r>
      <w:r>
        <w:rPr>
          <w:sz w:val="24"/>
        </w:rPr>
        <w:t>（</w:t>
      </w:r>
      <w:r>
        <w:rPr>
          <w:rFonts w:hint="eastAsia"/>
          <w:sz w:val="24"/>
        </w:rPr>
        <w:t>12</w:t>
      </w:r>
      <w:r>
        <w:rPr>
          <w:sz w:val="24"/>
        </w:rPr>
        <w:t>）</w:t>
      </w:r>
    </w:p>
    <w:p w14:paraId="78CDE686">
      <w:pPr>
        <w:spacing w:line="360" w:lineRule="auto"/>
        <w:ind w:firstLine="480" w:firstLineChars="200"/>
        <w:rPr>
          <w:sz w:val="24"/>
        </w:rPr>
      </w:pPr>
      <w:r>
        <w:rPr>
          <w:sz w:val="24"/>
        </w:rPr>
        <w:t>式中：</w:t>
      </w:r>
    </w:p>
    <w:p w14:paraId="0E11AC7A">
      <w:pPr>
        <w:spacing w:line="360" w:lineRule="auto"/>
        <w:ind w:firstLine="480" w:firstLineChars="200"/>
        <w:rPr>
          <w:sz w:val="24"/>
        </w:rPr>
      </w:pPr>
      <w:r>
        <w:rPr>
          <w:position w:val="-12"/>
          <w:sz w:val="24"/>
        </w:rPr>
        <w:object>
          <v:shape id="_x0000_i1083" o:spt="75" type="#_x0000_t75" style="height:18.3pt;width:15pt;" o:ole="t" filled="f" o:preferrelative="t" stroked="f" coordsize="21600,21600">
            <v:path/>
            <v:fill on="f" focussize="0,0"/>
            <v:stroke on="f" joinstyle="miter"/>
            <v:imagedata r:id="rId119" o:title=""/>
            <o:lock v:ext="edit" aspectratio="t"/>
            <w10:wrap type="none"/>
            <w10:anchorlock/>
          </v:shape>
          <o:OLEObject Type="Embed" ProgID="Equation.3" ShapeID="_x0000_i1083" DrawAspect="Content" ObjectID="_1468075780" r:id="rId118">
            <o:LockedField>false</o:LockedField>
          </o:OLEObject>
        </w:object>
      </w:r>
      <w:r>
        <w:rPr>
          <w:sz w:val="24"/>
        </w:rPr>
        <w:t xml:space="preserve"> —— 标准表的已定系统误差，不需修正时</w:t>
      </w:r>
      <w:r>
        <w:rPr>
          <w:position w:val="-12"/>
          <w:sz w:val="24"/>
        </w:rPr>
        <w:object>
          <v:shape id="_x0000_i1084" o:spt="75" type="#_x0000_t75" style="height:18.3pt;width:15pt;" o:ole="t" filled="f" o:preferrelative="t" stroked="f" coordsize="21600,21600">
            <v:path/>
            <v:fill on="f" focussize="0,0"/>
            <v:stroke on="f" joinstyle="miter"/>
            <v:imagedata r:id="rId121" o:title=""/>
            <o:lock v:ext="edit" aspectratio="t"/>
            <w10:wrap type="none"/>
            <w10:anchorlock/>
          </v:shape>
          <o:OLEObject Type="Embed" ProgID="Equation.3" ShapeID="_x0000_i1084" DrawAspect="Content" ObjectID="_1468075781" r:id="rId120">
            <o:LockedField>false</o:LockedField>
          </o:OLEObject>
        </w:object>
      </w:r>
      <w:r>
        <w:rPr>
          <w:sz w:val="24"/>
        </w:rPr>
        <w:t>＝0；</w:t>
      </w:r>
    </w:p>
    <w:p w14:paraId="5712794B">
      <w:pPr>
        <w:spacing w:line="360" w:lineRule="auto"/>
        <w:ind w:firstLine="435"/>
        <w:rPr>
          <w:rFonts w:hint="eastAsia" w:ascii="宋体" w:hAnsi="宋体"/>
          <w:sz w:val="24"/>
        </w:rPr>
      </w:pPr>
      <w:r>
        <w:rPr>
          <w:rFonts w:ascii="宋体" w:hAnsi="宋体"/>
          <w:position w:val="-6"/>
          <w:sz w:val="24"/>
        </w:rPr>
        <w:object>
          <v:shape id="_x0000_i1085" o:spt="75" type="#_x0000_t75" style="height:13.3pt;width:15.8pt;" o:ole="t" filled="f" o:preferrelative="t" stroked="f" coordsize="21600,21600">
            <v:path/>
            <v:fill on="f" focussize="0,0"/>
            <v:stroke on="f" joinstyle="miter"/>
            <v:imagedata r:id="rId123" o:title=""/>
            <o:lock v:ext="edit" aspectratio="t"/>
            <w10:wrap type="none"/>
            <w10:anchorlock/>
          </v:shape>
          <o:OLEObject Type="Embed" ProgID="Equation.3" ShapeID="_x0000_i1085" DrawAspect="Content" ObjectID="_1468075782" r:id="rId122">
            <o:LockedField>false</o:LockedField>
          </o:OLEObject>
        </w:object>
      </w:r>
      <w:r>
        <w:rPr>
          <w:rFonts w:hint="eastAsia" w:ascii="宋体" w:hAnsi="宋体"/>
          <w:sz w:val="24"/>
        </w:rPr>
        <w:t xml:space="preserve"> </w:t>
      </w:r>
      <w:r>
        <w:rPr>
          <w:sz w:val="24"/>
        </w:rPr>
        <w:t>——</w:t>
      </w:r>
      <w:r>
        <w:rPr>
          <w:rFonts w:hint="eastAsia" w:ascii="宋体" w:hAnsi="宋体"/>
          <w:sz w:val="24"/>
        </w:rPr>
        <w:t>每台被检电能表停止运行与运行前示值之差，</w:t>
      </w:r>
      <w:r>
        <w:rPr>
          <w:sz w:val="24"/>
        </w:rPr>
        <w:t>kWh</w:t>
      </w:r>
      <w:r>
        <w:rPr>
          <w:rFonts w:hint="eastAsia" w:ascii="宋体" w:hAnsi="宋体"/>
          <w:sz w:val="24"/>
        </w:rPr>
        <w:t>；</w:t>
      </w:r>
    </w:p>
    <w:p w14:paraId="7AC41C31">
      <w:pPr>
        <w:spacing w:line="360" w:lineRule="auto"/>
        <w:ind w:firstLine="435"/>
        <w:rPr>
          <w:rFonts w:hint="eastAsia" w:ascii="宋体" w:hAnsi="宋体"/>
          <w:sz w:val="24"/>
        </w:rPr>
      </w:pPr>
      <w:r>
        <w:rPr>
          <w:i/>
          <w:sz w:val="24"/>
        </w:rPr>
        <w:t>W</w:t>
      </w:r>
      <w:r>
        <w:rPr>
          <w:sz w:val="24"/>
        </w:rPr>
        <w:t xml:space="preserve"> </w:t>
      </w:r>
      <w:r>
        <w:rPr>
          <w:rFonts w:hint="eastAsia" w:ascii="宋体" w:hAnsi="宋体"/>
          <w:sz w:val="24"/>
        </w:rPr>
        <w:t xml:space="preserve"> </w:t>
      </w:r>
      <w:r>
        <w:rPr>
          <w:sz w:val="24"/>
        </w:rPr>
        <w:t>——</w:t>
      </w:r>
      <w:r>
        <w:rPr>
          <w:rFonts w:hint="eastAsia" w:ascii="宋体" w:hAnsi="宋体"/>
          <w:sz w:val="24"/>
        </w:rPr>
        <w:t xml:space="preserve"> 标准电能表显示的电能值（换算为</w:t>
      </w:r>
      <w:r>
        <w:rPr>
          <w:sz w:val="24"/>
        </w:rPr>
        <w:t>kWh</w:t>
      </w:r>
      <w:r>
        <w:rPr>
          <w:rFonts w:hint="eastAsia" w:ascii="宋体" w:hAnsi="宋体"/>
          <w:sz w:val="24"/>
        </w:rPr>
        <w:t>）。</w:t>
      </w:r>
    </w:p>
    <w:p w14:paraId="507A7DDC">
      <w:pPr>
        <w:spacing w:line="360" w:lineRule="auto"/>
        <w:ind w:firstLine="435"/>
        <w:rPr>
          <w:sz w:val="24"/>
        </w:rPr>
      </w:pPr>
      <w:r>
        <w:rPr>
          <w:rFonts w:hint="eastAsia" w:ascii="宋体" w:hAnsi="宋体"/>
          <w:sz w:val="24"/>
        </w:rPr>
        <w:t>在此，要使标准表与被检电能表同步运行，运行的时间要足够长，以使得被检电能表</w:t>
      </w:r>
      <w:r>
        <w:rPr>
          <w:sz w:val="24"/>
        </w:rPr>
        <w:t>计度器末位一字（或最小分格）代表的电能值与所记的</w:t>
      </w:r>
      <w:r>
        <w:rPr>
          <w:position w:val="-6"/>
          <w:sz w:val="24"/>
        </w:rPr>
        <w:object>
          <v:shape id="_x0000_i1086" o:spt="75" type="#_x0000_t75" style="height:13.3pt;width:15.8pt;" o:ole="t" filled="f" o:preferrelative="t" stroked="f" coordsize="21600,21600">
            <v:path/>
            <v:fill on="f" focussize="0,0"/>
            <v:stroke on="f" joinstyle="miter"/>
            <v:imagedata r:id="rId125" o:title=""/>
            <o:lock v:ext="edit" aspectratio="t"/>
            <w10:wrap type="none"/>
            <w10:anchorlock/>
          </v:shape>
          <o:OLEObject Type="Embed" ProgID="Equation.3" ShapeID="_x0000_i1086" DrawAspect="Content" ObjectID="_1468075783" r:id="rId124">
            <o:LockedField>false</o:LockedField>
          </o:OLEObject>
        </w:object>
      </w:r>
      <w:r>
        <w:rPr>
          <w:sz w:val="24"/>
        </w:rPr>
        <w:t>之比（%）不大于被检电能表等级指数的1/10。</w:t>
      </w:r>
    </w:p>
    <w:p w14:paraId="063B36B8">
      <w:pPr>
        <w:spacing w:line="360" w:lineRule="auto"/>
        <w:ind w:right="25" w:rightChars="12" w:firstLine="480" w:firstLineChars="200"/>
        <w:rPr>
          <w:i/>
          <w:sz w:val="24"/>
        </w:rPr>
      </w:pPr>
      <w:bookmarkStart w:id="67" w:name="_Toc128810545"/>
      <w:r>
        <w:rPr>
          <w:rFonts w:hint="eastAsia"/>
          <w:sz w:val="24"/>
        </w:rPr>
        <w:t>若标准表显示位数不够多，可用计数器记录标准表的输出脉冲数</w:t>
      </w:r>
      <w:r>
        <w:rPr>
          <w:rFonts w:hint="eastAsia"/>
          <w:i/>
          <w:sz w:val="24"/>
        </w:rPr>
        <w:t>m。</w:t>
      </w:r>
    </w:p>
    <w:p w14:paraId="28AEE37F">
      <w:pPr>
        <w:spacing w:line="360" w:lineRule="auto"/>
        <w:ind w:right="25" w:rightChars="12" w:firstLine="480" w:firstLineChars="200"/>
        <w:rPr>
          <w:sz w:val="24"/>
        </w:rPr>
      </w:pPr>
      <w:r>
        <w:rPr>
          <w:sz w:val="24"/>
        </w:rPr>
        <w:t>若标准表经外配电流、电压</w:t>
      </w:r>
      <w:r>
        <w:rPr>
          <w:rFonts w:hint="eastAsia"/>
          <w:sz w:val="24"/>
        </w:rPr>
        <w:t>传</w:t>
      </w:r>
      <w:r>
        <w:rPr>
          <w:sz w:val="24"/>
        </w:rPr>
        <w:t>感器接入，则</w:t>
      </w:r>
      <w:r>
        <w:rPr>
          <w:i/>
          <w:sz w:val="24"/>
        </w:rPr>
        <w:t>W</w:t>
      </w:r>
      <w:r>
        <w:rPr>
          <w:sz w:val="24"/>
        </w:rPr>
        <w:t>要乘以电流、电压</w:t>
      </w:r>
      <w:r>
        <w:rPr>
          <w:rFonts w:hint="eastAsia"/>
          <w:sz w:val="24"/>
        </w:rPr>
        <w:t>传</w:t>
      </w:r>
      <w:r>
        <w:rPr>
          <w:sz w:val="24"/>
        </w:rPr>
        <w:t>感器的</w:t>
      </w:r>
      <w:r>
        <w:rPr>
          <w:rFonts w:hint="eastAsia"/>
          <w:sz w:val="24"/>
        </w:rPr>
        <w:t>倍率</w:t>
      </w:r>
      <w:r>
        <w:rPr>
          <w:i/>
          <w:sz w:val="24"/>
        </w:rPr>
        <w:t>K</w:t>
      </w:r>
      <w:r>
        <w:rPr>
          <w:rFonts w:hint="eastAsia"/>
          <w:sz w:val="24"/>
          <w:vertAlign w:val="subscript"/>
        </w:rPr>
        <w:t>I</w:t>
      </w:r>
      <w:r>
        <w:rPr>
          <w:sz w:val="24"/>
        </w:rPr>
        <w:t>、</w:t>
      </w:r>
      <w:r>
        <w:rPr>
          <w:i/>
          <w:sz w:val="24"/>
        </w:rPr>
        <w:t>K</w:t>
      </w:r>
      <w:r>
        <w:rPr>
          <w:sz w:val="24"/>
          <w:vertAlign w:val="subscript"/>
        </w:rPr>
        <w:t>U</w:t>
      </w:r>
      <w:r>
        <w:rPr>
          <w:sz w:val="24"/>
        </w:rPr>
        <w:t>。</w:t>
      </w:r>
    </w:p>
    <w:p w14:paraId="585A50E2">
      <w:pPr>
        <w:pStyle w:val="43"/>
        <w:numPr>
          <w:ilvl w:val="0"/>
          <w:numId w:val="0"/>
        </w:numPr>
        <w:spacing w:line="360" w:lineRule="auto"/>
        <w:rPr>
          <w:rFonts w:eastAsia="宋体" w:cs="Times New Roman"/>
        </w:rPr>
      </w:pPr>
      <w:r>
        <w:rPr>
          <w:rFonts w:eastAsia="宋体" w:cs="Times New Roman"/>
        </w:rPr>
        <w:t>7.4.8</w:t>
      </w:r>
      <w:r>
        <w:rPr>
          <w:rFonts w:hint="eastAsia" w:eastAsia="宋体" w:cs="Times New Roman"/>
        </w:rPr>
        <w:t xml:space="preserve">  时间（时刻）示值误差试验</w:t>
      </w:r>
    </w:p>
    <w:p w14:paraId="5EF777DA">
      <w:pPr>
        <w:adjustRightInd w:val="0"/>
        <w:snapToGrid w:val="0"/>
        <w:spacing w:line="360" w:lineRule="auto"/>
        <w:ind w:firstLine="480"/>
        <w:rPr>
          <w:sz w:val="24"/>
          <w:szCs w:val="24"/>
        </w:rPr>
      </w:pPr>
      <w:r>
        <w:rPr>
          <w:rFonts w:hint="eastAsia"/>
          <w:sz w:val="24"/>
          <w:szCs w:val="24"/>
        </w:rPr>
        <w:t>首次检定时，在参比条件下，电能表通电预热后，使用时钟测试仪在电能表时基频率测试点连续进行3次测量，每次测量时间为1min，之后计算平均值换算为日计时误差，</w:t>
      </w:r>
      <w:r>
        <w:rPr>
          <w:sz w:val="24"/>
          <w:szCs w:val="24"/>
        </w:rPr>
        <w:t>试验结果应满足5.5要求。</w:t>
      </w:r>
    </w:p>
    <w:p w14:paraId="56BDD7A3">
      <w:pPr>
        <w:adjustRightInd w:val="0"/>
        <w:snapToGrid w:val="0"/>
        <w:spacing w:line="360" w:lineRule="auto"/>
        <w:ind w:firstLine="480"/>
        <w:rPr>
          <w:sz w:val="24"/>
          <w:szCs w:val="24"/>
        </w:rPr>
      </w:pPr>
      <w:r>
        <w:rPr>
          <w:rFonts w:hint="eastAsia"/>
          <w:sz w:val="24"/>
          <w:szCs w:val="24"/>
        </w:rPr>
        <w:t>电能表显示日期应准确，将电能表显示的时间（时刻）与标准时间（时刻）相比较，记录时间（时刻）值，按式（13）计算时间（时刻）示值误差△T</w:t>
      </w:r>
      <w:r>
        <w:rPr>
          <w:sz w:val="24"/>
          <w:szCs w:val="24"/>
        </w:rPr>
        <w:t xml:space="preserve"> </w:t>
      </w:r>
      <w:r>
        <w:rPr>
          <w:rFonts w:hint="eastAsia"/>
          <w:sz w:val="24"/>
          <w:szCs w:val="24"/>
        </w:rPr>
        <w:t>即：</w:t>
      </w:r>
    </w:p>
    <w:p w14:paraId="4C066234">
      <w:pPr>
        <w:adjustRightInd w:val="0"/>
        <w:snapToGrid w:val="0"/>
        <w:spacing w:line="360" w:lineRule="auto"/>
        <w:jc w:val="right"/>
        <w:rPr>
          <w:sz w:val="32"/>
          <w:szCs w:val="32"/>
        </w:rPr>
      </w:pPr>
      <w:r>
        <w:rPr>
          <w:rFonts w:hint="eastAsia"/>
          <w:sz w:val="24"/>
          <w:szCs w:val="24"/>
        </w:rPr>
        <w:t>△</w:t>
      </w:r>
      <w:r>
        <w:rPr>
          <w:color w:val="44546A"/>
          <w:position w:val="-4"/>
        </w:rPr>
        <w:object>
          <v:shape id="_x0000_i1087" o:spt="75" type="#_x0000_t75" style="height:15.8pt;width:53.7pt;" o:ole="t" filled="f" o:preferrelative="t" stroked="f" coordsize="21600,21600">
            <v:path/>
            <v:fill on="f" focussize="0,0"/>
            <v:stroke on="f" joinstyle="miter"/>
            <v:imagedata r:id="rId127" o:title=""/>
            <o:lock v:ext="edit" aspectratio="t"/>
            <w10:wrap type="none"/>
            <w10:anchorlock/>
          </v:shape>
          <o:OLEObject Type="Embed" ProgID="Equation.DSMT4" ShapeID="_x0000_i1087" DrawAspect="Content" ObjectID="_1468075784" r:id="rId126">
            <o:LockedField>false</o:LockedField>
          </o:OLEObject>
        </w:object>
      </w:r>
      <w:r>
        <w:rPr>
          <w:color w:val="44546A"/>
          <w:sz w:val="24"/>
          <w:szCs w:val="24"/>
        </w:rPr>
        <w:t xml:space="preserve">  </w:t>
      </w:r>
      <w:r>
        <w:rPr>
          <w:sz w:val="24"/>
          <w:szCs w:val="24"/>
        </w:rPr>
        <w:t xml:space="preserve">                      (</w:t>
      </w:r>
      <w:r>
        <w:rPr>
          <w:rFonts w:hint="eastAsia"/>
          <w:sz w:val="24"/>
          <w:szCs w:val="24"/>
        </w:rPr>
        <w:t>13</w:t>
      </w:r>
      <w:r>
        <w:rPr>
          <w:sz w:val="24"/>
          <w:szCs w:val="24"/>
        </w:rPr>
        <w:t>)</w:t>
      </w:r>
      <w:r>
        <w:rPr>
          <w:sz w:val="32"/>
          <w:szCs w:val="32"/>
        </w:rPr>
        <w:fldChar w:fldCharType="begin"/>
      </w:r>
      <w:r>
        <w:rPr>
          <w:sz w:val="32"/>
          <w:szCs w:val="32"/>
        </w:rPr>
        <w:instrText xml:space="preserve"> =tT-TAVERAGE() \# "#,##0" </w:instrText>
      </w:r>
      <w:r>
        <w:rPr>
          <w:sz w:val="32"/>
          <w:szCs w:val="32"/>
        </w:rPr>
        <w:fldChar w:fldCharType="end"/>
      </w:r>
    </w:p>
    <w:p w14:paraId="2BF24480">
      <w:pPr>
        <w:adjustRightInd w:val="0"/>
        <w:snapToGrid w:val="0"/>
        <w:spacing w:line="360" w:lineRule="auto"/>
        <w:ind w:firstLine="480"/>
        <w:rPr>
          <w:sz w:val="24"/>
          <w:szCs w:val="24"/>
        </w:rPr>
      </w:pPr>
      <w:r>
        <w:rPr>
          <w:rFonts w:hint="eastAsia"/>
          <w:sz w:val="24"/>
          <w:szCs w:val="24"/>
        </w:rPr>
        <w:t xml:space="preserve">式中： </w:t>
      </w:r>
    </w:p>
    <w:p w14:paraId="083AB3A7">
      <w:pPr>
        <w:adjustRightInd w:val="0"/>
        <w:snapToGrid w:val="0"/>
        <w:spacing w:line="360" w:lineRule="auto"/>
        <w:ind w:left="480" w:leftChars="229" w:firstLine="566"/>
        <w:rPr>
          <w:sz w:val="24"/>
          <w:szCs w:val="24"/>
        </w:rPr>
      </w:pPr>
      <w:r>
        <w:rPr>
          <w:position w:val="-4"/>
        </w:rPr>
        <w:object>
          <v:shape id="_x0000_i1088" o:spt="75" type="#_x0000_t75" style="height:15.8pt;width:12.9pt;" o:ole="t" filled="f" o:preferrelative="t" stroked="f" coordsize="21600,21600">
            <v:path/>
            <v:fill on="f" focussize="0,0"/>
            <v:stroke on="f" joinstyle="miter"/>
            <v:imagedata r:id="rId129" o:title=""/>
            <o:lock v:ext="edit" aspectratio="t"/>
            <w10:wrap type="none"/>
            <w10:anchorlock/>
          </v:shape>
          <o:OLEObject Type="Embed" ProgID="Equation.DSMT4" ShapeID="_x0000_i1088" DrawAspect="Content" ObjectID="_1468075785" r:id="rId128">
            <o:LockedField>false</o:LockedField>
          </o:OLEObject>
        </w:object>
      </w:r>
      <w:r>
        <w:rPr>
          <w:rFonts w:hint="eastAsia"/>
          <w:sz w:val="24"/>
          <w:szCs w:val="24"/>
        </w:rPr>
        <w:t>—被检电能表的显示时间（时刻），</w:t>
      </w:r>
      <w:r>
        <w:rPr>
          <w:rFonts w:hint="eastAsia" w:ascii="宋体" w:hAnsi="宋体"/>
          <w:sz w:val="24"/>
          <w:szCs w:val="24"/>
        </w:rPr>
        <w:t>××</w:t>
      </w:r>
      <w:r>
        <w:rPr>
          <w:rFonts w:hint="eastAsia"/>
          <w:sz w:val="24"/>
          <w:szCs w:val="24"/>
        </w:rPr>
        <w:t>h</w:t>
      </w:r>
      <w:r>
        <w:rPr>
          <w:rFonts w:hint="eastAsia" w:ascii="宋体" w:hAnsi="宋体"/>
          <w:sz w:val="24"/>
          <w:szCs w:val="24"/>
        </w:rPr>
        <w:t>××</w:t>
      </w:r>
      <w:r>
        <w:rPr>
          <w:rFonts w:hint="eastAsia"/>
          <w:sz w:val="24"/>
          <w:szCs w:val="24"/>
        </w:rPr>
        <w:t>min</w:t>
      </w:r>
      <w:r>
        <w:rPr>
          <w:rFonts w:hint="eastAsia" w:ascii="宋体" w:hAnsi="宋体"/>
          <w:sz w:val="24"/>
          <w:szCs w:val="24"/>
        </w:rPr>
        <w:t>××</w:t>
      </w:r>
      <w:r>
        <w:rPr>
          <w:rFonts w:hint="eastAsia"/>
          <w:sz w:val="24"/>
          <w:szCs w:val="24"/>
        </w:rPr>
        <w:t xml:space="preserve">s ； </w:t>
      </w:r>
    </w:p>
    <w:p w14:paraId="4F0AB647">
      <w:pPr>
        <w:adjustRightInd w:val="0"/>
        <w:snapToGrid w:val="0"/>
        <w:spacing w:line="360" w:lineRule="auto"/>
        <w:ind w:left="480" w:leftChars="229" w:firstLine="566"/>
        <w:rPr>
          <w:sz w:val="24"/>
          <w:szCs w:val="24"/>
        </w:rPr>
      </w:pPr>
      <w:r>
        <w:rPr>
          <w:rFonts w:hint="eastAsia"/>
          <w:sz w:val="24"/>
          <w:szCs w:val="24"/>
        </w:rPr>
        <w:t>T—标准时钟测试仪的显示时间（时刻），</w:t>
      </w:r>
      <w:bookmarkStart w:id="68" w:name="_Hlk131795841"/>
      <w:r>
        <w:rPr>
          <w:rFonts w:hint="eastAsia" w:ascii="宋体" w:hAnsi="宋体"/>
          <w:sz w:val="24"/>
          <w:szCs w:val="24"/>
        </w:rPr>
        <w:t>××</w:t>
      </w:r>
      <w:bookmarkEnd w:id="68"/>
      <w:r>
        <w:rPr>
          <w:rFonts w:hint="eastAsia"/>
          <w:sz w:val="24"/>
          <w:szCs w:val="24"/>
        </w:rPr>
        <w:t>h</w:t>
      </w:r>
      <w:r>
        <w:rPr>
          <w:rFonts w:hint="eastAsia" w:ascii="宋体" w:hAnsi="宋体"/>
          <w:sz w:val="24"/>
          <w:szCs w:val="24"/>
        </w:rPr>
        <w:t>××</w:t>
      </w:r>
      <w:r>
        <w:rPr>
          <w:rFonts w:hint="eastAsia"/>
          <w:sz w:val="24"/>
          <w:szCs w:val="24"/>
        </w:rPr>
        <w:t>min</w:t>
      </w:r>
      <w:r>
        <w:rPr>
          <w:rFonts w:hint="eastAsia" w:ascii="宋体" w:hAnsi="宋体"/>
          <w:sz w:val="24"/>
          <w:szCs w:val="24"/>
        </w:rPr>
        <w:t>××</w:t>
      </w:r>
      <w:r>
        <w:rPr>
          <w:rFonts w:hint="eastAsia"/>
          <w:sz w:val="24"/>
          <w:szCs w:val="24"/>
        </w:rPr>
        <w:t>s。</w:t>
      </w:r>
    </w:p>
    <w:p w14:paraId="68FFACDD">
      <w:pPr>
        <w:adjustRightInd w:val="0"/>
        <w:snapToGrid w:val="0"/>
        <w:spacing w:line="360" w:lineRule="auto"/>
        <w:ind w:firstLine="480"/>
        <w:rPr>
          <w:sz w:val="24"/>
          <w:szCs w:val="24"/>
        </w:rPr>
      </w:pPr>
      <w:r>
        <w:rPr>
          <w:rFonts w:hint="eastAsia"/>
          <w:sz w:val="24"/>
          <w:szCs w:val="24"/>
        </w:rPr>
        <w:t>测量时间（时刻）示值误差△T，试验结果应满足</w:t>
      </w:r>
      <w:r>
        <w:rPr>
          <w:sz w:val="24"/>
          <w:szCs w:val="24"/>
        </w:rPr>
        <w:t>5.5</w:t>
      </w:r>
      <w:r>
        <w:rPr>
          <w:rFonts w:hint="eastAsia"/>
          <w:sz w:val="24"/>
          <w:szCs w:val="24"/>
        </w:rPr>
        <w:t>要求。</w:t>
      </w:r>
    </w:p>
    <w:p w14:paraId="339789C8">
      <w:pPr>
        <w:adjustRightInd w:val="0"/>
        <w:snapToGrid w:val="0"/>
        <w:spacing w:line="360" w:lineRule="auto"/>
        <w:ind w:firstLine="480"/>
        <w:rPr>
          <w:sz w:val="24"/>
          <w:szCs w:val="24"/>
        </w:rPr>
      </w:pPr>
      <w:r>
        <w:rPr>
          <w:sz w:val="24"/>
          <w:szCs w:val="24"/>
        </w:rPr>
        <w:t>首次检定时，在设定电能表的时间后，测量其时间（时刻）示值误差，s；</w:t>
      </w:r>
    </w:p>
    <w:p w14:paraId="578D7BEC">
      <w:pPr>
        <w:adjustRightInd w:val="0"/>
        <w:snapToGrid w:val="0"/>
        <w:spacing w:line="360" w:lineRule="auto"/>
        <w:ind w:firstLine="480"/>
        <w:rPr>
          <w:sz w:val="24"/>
          <w:szCs w:val="24"/>
        </w:rPr>
      </w:pPr>
      <w:r>
        <w:rPr>
          <w:sz w:val="24"/>
          <w:szCs w:val="24"/>
        </w:rPr>
        <w:t>后续检定、使用中检查时，直接测量电能表时间（时刻）示值误差，min。</w:t>
      </w:r>
    </w:p>
    <w:p w14:paraId="6DA453EE">
      <w:pPr>
        <w:pStyle w:val="43"/>
        <w:numPr>
          <w:ilvl w:val="0"/>
          <w:numId w:val="0"/>
        </w:numPr>
        <w:spacing w:line="360" w:lineRule="auto"/>
        <w:rPr>
          <w:rFonts w:eastAsia="宋体" w:cs="Times New Roman"/>
        </w:rPr>
      </w:pPr>
      <w:r>
        <w:rPr>
          <w:rFonts w:eastAsia="宋体" w:cs="Times New Roman"/>
        </w:rPr>
        <w:t>7.4.</w:t>
      </w:r>
      <w:r>
        <w:rPr>
          <w:rFonts w:hint="eastAsia" w:eastAsia="宋体" w:cs="Times New Roman"/>
        </w:rPr>
        <w:t>9  电能示值组合误差试验</w:t>
      </w:r>
    </w:p>
    <w:p w14:paraId="73F2E556">
      <w:pPr>
        <w:adjustRightInd w:val="0"/>
        <w:snapToGrid w:val="0"/>
        <w:spacing w:line="360" w:lineRule="auto"/>
        <w:ind w:firstLine="480" w:firstLineChars="200"/>
        <w:rPr>
          <w:sz w:val="24"/>
          <w:szCs w:val="24"/>
        </w:rPr>
      </w:pPr>
      <w:r>
        <w:rPr>
          <w:sz w:val="24"/>
          <w:szCs w:val="24"/>
        </w:rPr>
        <w:t>a) 对具有多费率功能的电能表，首次检定时要进行电能示值组合误差试验。</w:t>
      </w:r>
    </w:p>
    <w:p w14:paraId="4854F99F">
      <w:pPr>
        <w:adjustRightInd w:val="0"/>
        <w:snapToGrid w:val="0"/>
        <w:spacing w:line="360" w:lineRule="auto"/>
        <w:ind w:firstLine="480"/>
        <w:rPr>
          <w:sz w:val="24"/>
          <w:szCs w:val="24"/>
        </w:rPr>
      </w:pPr>
      <w:r>
        <w:rPr>
          <w:sz w:val="24"/>
          <w:szCs w:val="24"/>
        </w:rPr>
        <w:t>1) 具有费率时段参数编程权限时，能够编辑费率时段的，可以将仪表各费率时段按15min～60min任意交替编制，费率时段切换不少于5次；具有改变时间权限的，可以在满足一个时段的电能增量后，切换到下一时段，不少于5个时段。试验时，首先读取总电能和各费率电能的初始示值。此后电能表电压电路施加标称电压</w:t>
      </w:r>
      <w:r>
        <w:rPr>
          <w:rFonts w:hint="eastAsia"/>
          <w:sz w:val="24"/>
          <w:szCs w:val="24"/>
        </w:rPr>
        <w:t>或</w:t>
      </w:r>
      <w:r>
        <w:rPr>
          <w:sz w:val="24"/>
          <w:szCs w:val="24"/>
        </w:rPr>
        <w:t>标称电压</w:t>
      </w:r>
      <w:r>
        <w:rPr>
          <w:rFonts w:hint="eastAsia"/>
          <w:sz w:val="24"/>
          <w:szCs w:val="24"/>
        </w:rPr>
        <w:t>范围的上限值</w:t>
      </w:r>
      <w:r>
        <w:rPr>
          <w:sz w:val="24"/>
          <w:szCs w:val="24"/>
        </w:rPr>
        <w:t>，电流电路通</w:t>
      </w:r>
      <w:r>
        <w:rPr>
          <w:i/>
          <w:iCs/>
          <w:sz w:val="24"/>
          <w:szCs w:val="24"/>
        </w:rPr>
        <w:t>I</w:t>
      </w:r>
      <w:r>
        <w:rPr>
          <w:sz w:val="24"/>
          <w:szCs w:val="24"/>
          <w:vertAlign w:val="subscript"/>
        </w:rPr>
        <w:t>n</w:t>
      </w:r>
      <w:r>
        <w:rPr>
          <w:sz w:val="24"/>
          <w:szCs w:val="24"/>
        </w:rPr>
        <w:t>或</w:t>
      </w:r>
      <w:r>
        <w:rPr>
          <w:i/>
          <w:iCs/>
          <w:sz w:val="24"/>
          <w:szCs w:val="24"/>
        </w:rPr>
        <w:t>I</w:t>
      </w:r>
      <w:r>
        <w:rPr>
          <w:sz w:val="24"/>
          <w:szCs w:val="24"/>
          <w:vertAlign w:val="subscript"/>
        </w:rPr>
        <w:t>max</w:t>
      </w:r>
      <w:r>
        <w:rPr>
          <w:sz w:val="24"/>
          <w:szCs w:val="24"/>
        </w:rPr>
        <w:t>，使该表各费率计度显示器（或寄存器）的电能增量不少于</w:t>
      </w:r>
      <w:r>
        <w:rPr>
          <w:color w:val="000000"/>
          <w:position w:val="-6"/>
          <w:sz w:val="24"/>
          <w:szCs w:val="24"/>
        </w:rPr>
        <w:drawing>
          <wp:inline distT="0" distB="0" distL="0" distR="0">
            <wp:extent cx="974725" cy="20701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a:xfrm>
                      <a:off x="0" y="0"/>
                      <a:ext cx="974725" cy="207010"/>
                    </a:xfrm>
                    <a:prstGeom prst="rect">
                      <a:avLst/>
                    </a:prstGeom>
                    <a:noFill/>
                    <a:ln>
                      <a:noFill/>
                    </a:ln>
                  </pic:spPr>
                </pic:pic>
              </a:graphicData>
            </a:graphic>
          </wp:inline>
        </w:drawing>
      </w:r>
      <w:r>
        <w:rPr>
          <w:sz w:val="24"/>
          <w:szCs w:val="24"/>
        </w:rPr>
        <w:t>，再次读取总电能和各费率电能的示值（或寄存器），计算总电能增量和各费率时段的电能增量，结果应满足5.6条</w:t>
      </w:r>
      <w:r>
        <w:rPr>
          <w:rFonts w:hint="eastAsia"/>
          <w:sz w:val="24"/>
          <w:szCs w:val="24"/>
        </w:rPr>
        <w:t>款</w:t>
      </w:r>
      <w:r>
        <w:rPr>
          <w:sz w:val="24"/>
          <w:szCs w:val="24"/>
        </w:rPr>
        <w:t>的要求。</w:t>
      </w:r>
    </w:p>
    <w:p w14:paraId="7EF91975">
      <w:pPr>
        <w:adjustRightInd w:val="0"/>
        <w:snapToGrid w:val="0"/>
        <w:spacing w:line="360" w:lineRule="auto"/>
        <w:ind w:firstLine="480"/>
        <w:rPr>
          <w:sz w:val="24"/>
          <w:szCs w:val="24"/>
        </w:rPr>
      </w:pPr>
      <w:r>
        <w:rPr>
          <w:sz w:val="24"/>
          <w:szCs w:val="24"/>
        </w:rPr>
        <w:t>2) 不具有费率时段参数的编程权限时，读取总电能和各默认费率电能的初始示值。电能表电压电路施加标称电压</w:t>
      </w:r>
      <w:r>
        <w:rPr>
          <w:rFonts w:hint="eastAsia"/>
          <w:sz w:val="24"/>
          <w:szCs w:val="24"/>
        </w:rPr>
        <w:t>或</w:t>
      </w:r>
      <w:r>
        <w:rPr>
          <w:sz w:val="24"/>
          <w:szCs w:val="24"/>
        </w:rPr>
        <w:t>标称电压</w:t>
      </w:r>
      <w:r>
        <w:rPr>
          <w:rFonts w:hint="eastAsia"/>
          <w:sz w:val="24"/>
          <w:szCs w:val="24"/>
        </w:rPr>
        <w:t>范围的上限值</w:t>
      </w:r>
      <w:r>
        <w:rPr>
          <w:sz w:val="24"/>
          <w:szCs w:val="24"/>
        </w:rPr>
        <w:t>，电流电路通</w:t>
      </w:r>
      <w:r>
        <w:rPr>
          <w:i/>
          <w:iCs/>
          <w:sz w:val="24"/>
          <w:szCs w:val="24"/>
        </w:rPr>
        <w:t>I</w:t>
      </w:r>
      <w:r>
        <w:rPr>
          <w:sz w:val="24"/>
          <w:szCs w:val="24"/>
          <w:vertAlign w:val="subscript"/>
        </w:rPr>
        <w:t>n</w:t>
      </w:r>
      <w:r>
        <w:rPr>
          <w:sz w:val="24"/>
          <w:szCs w:val="24"/>
        </w:rPr>
        <w:t>或</w:t>
      </w:r>
      <w:r>
        <w:rPr>
          <w:i/>
          <w:iCs/>
          <w:sz w:val="24"/>
          <w:szCs w:val="24"/>
        </w:rPr>
        <w:t>I</w:t>
      </w:r>
      <w:r>
        <w:rPr>
          <w:sz w:val="24"/>
          <w:szCs w:val="24"/>
          <w:vertAlign w:val="subscript"/>
        </w:rPr>
        <w:t>max</w:t>
      </w:r>
      <w:r>
        <w:rPr>
          <w:sz w:val="24"/>
          <w:szCs w:val="24"/>
        </w:rPr>
        <w:t>，各费率计度显示器（或寄存器）的电能增量不少于</w:t>
      </w:r>
      <w:r>
        <w:rPr>
          <w:color w:val="000000"/>
          <w:position w:val="-6"/>
          <w:sz w:val="24"/>
          <w:szCs w:val="24"/>
        </w:rPr>
        <w:drawing>
          <wp:inline distT="0" distB="0" distL="0" distR="0">
            <wp:extent cx="974725" cy="20701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a:xfrm>
                      <a:off x="0" y="0"/>
                      <a:ext cx="974725" cy="207010"/>
                    </a:xfrm>
                    <a:prstGeom prst="rect">
                      <a:avLst/>
                    </a:prstGeom>
                    <a:noFill/>
                    <a:ln>
                      <a:noFill/>
                    </a:ln>
                  </pic:spPr>
                </pic:pic>
              </a:graphicData>
            </a:graphic>
          </wp:inline>
        </w:drawing>
      </w:r>
      <w:r>
        <w:rPr>
          <w:sz w:val="24"/>
          <w:szCs w:val="24"/>
        </w:rPr>
        <w:t>，再次读取总电能和各默认费率电能的示值，计算总电能增量和各费率时段的电能增量，结果应满足5.6条</w:t>
      </w:r>
      <w:r>
        <w:rPr>
          <w:rFonts w:hint="eastAsia"/>
          <w:sz w:val="24"/>
          <w:szCs w:val="24"/>
        </w:rPr>
        <w:t>款</w:t>
      </w:r>
      <w:r>
        <w:rPr>
          <w:sz w:val="24"/>
          <w:szCs w:val="24"/>
        </w:rPr>
        <w:t>的要求。</w:t>
      </w:r>
    </w:p>
    <w:p w14:paraId="35528F65">
      <w:pPr>
        <w:adjustRightInd w:val="0"/>
        <w:snapToGrid w:val="0"/>
        <w:spacing w:line="360" w:lineRule="auto"/>
        <w:ind w:firstLine="480" w:firstLineChars="200"/>
        <w:rPr>
          <w:sz w:val="24"/>
          <w:szCs w:val="24"/>
        </w:rPr>
      </w:pPr>
      <w:r>
        <w:rPr>
          <w:sz w:val="24"/>
          <w:szCs w:val="24"/>
        </w:rPr>
        <w:t>b）使用中检查、后续检定时，</w:t>
      </w:r>
      <w:bookmarkStart w:id="69" w:name="_Hlk101936389"/>
      <w:r>
        <w:rPr>
          <w:sz w:val="24"/>
          <w:szCs w:val="24"/>
        </w:rPr>
        <w:t>计算总电能与各费率时段的电能和的差值</w:t>
      </w:r>
      <w:bookmarkEnd w:id="69"/>
      <w:r>
        <w:rPr>
          <w:sz w:val="24"/>
          <w:szCs w:val="24"/>
        </w:rPr>
        <w:t>，</w:t>
      </w:r>
    </w:p>
    <w:p w14:paraId="3B53F321">
      <w:pPr>
        <w:adjustRightInd w:val="0"/>
        <w:snapToGrid w:val="0"/>
        <w:spacing w:line="360" w:lineRule="auto"/>
        <w:ind w:firstLine="480"/>
        <w:rPr>
          <w:sz w:val="24"/>
          <w:szCs w:val="24"/>
        </w:rPr>
      </w:pPr>
      <w:r>
        <w:rPr>
          <w:sz w:val="24"/>
          <w:szCs w:val="24"/>
        </w:rPr>
        <w:t>电能表通电时，分别记录仪表的总电能与其他各费率电能值，按公式（14）计算总电能与各费率时段的电能和的差值ΔW，即：</w:t>
      </w:r>
    </w:p>
    <w:p w14:paraId="1EA2FFDF">
      <w:pPr>
        <w:adjustRightInd w:val="0"/>
        <w:snapToGrid w:val="0"/>
        <w:spacing w:line="264" w:lineRule="auto"/>
        <w:ind w:firstLine="480" w:firstLineChars="200"/>
        <w:jc w:val="right"/>
        <w:rPr>
          <w:rFonts w:eastAsia="等线"/>
          <w:i/>
          <w:color w:val="FF0000"/>
          <w:sz w:val="24"/>
          <w:szCs w:val="24"/>
        </w:rPr>
      </w:pPr>
      <w:r>
        <w:rPr>
          <w:i/>
          <w:sz w:val="24"/>
          <w:szCs w:val="24"/>
        </w:rPr>
        <w:br w:type="textWrapping"/>
      </w:r>
      <w:r>
        <w:rPr>
          <w:i/>
          <w:iCs/>
          <w:color w:val="44546A"/>
          <w:sz w:val="24"/>
          <w:szCs w:val="24"/>
        </w:rPr>
        <w:fldChar w:fldCharType="begin"/>
      </w:r>
      <w:r>
        <w:rPr>
          <w:i/>
          <w:iCs/>
          <w:color w:val="44546A"/>
          <w:sz w:val="24"/>
          <w:szCs w:val="24"/>
        </w:rPr>
        <w:instrText xml:space="preserve"> QUOTE </w:instrText>
      </w:r>
      <w:r>
        <w:rPr>
          <w:i/>
          <w:iCs/>
          <w:position w:val="-8"/>
        </w:rPr>
        <w:pict>
          <v:shape id="_x0000_i1089" o:spt="75" type="#_x0000_t75" style="height:17.5pt;width:200.6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hideSpellingErrors/&gt;&lt;w:hideGrammaticalErrors/&gt;&lt;w:stylePaneFormatFilter w:val=&quot;3F01&quot;/&gt;&lt;w:defaultTabStop w:val=&quot;420&quot;/&gt;&lt;w:evenAndOddHeaders/&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useFELayout/&gt;&lt;/w:compat&gt;&lt;wsp:rsids&gt;&lt;wsp:rsidRoot wsp:val=&quot;003E57DC&quot;/&gt;&lt;wsp:rsid wsp:val=&quot;00001D02&quot;/&gt;&lt;wsp:rsid wsp:val=&quot;00001D29&quot;/&gt;&lt;wsp:rsid wsp:val=&quot;0000286B&quot;/&gt;&lt;wsp:rsid wsp:val=&quot;00002941&quot;/&gt;&lt;wsp:rsid wsp:val=&quot;00005D9D&quot;/&gt;&lt;wsp:rsid wsp:val=&quot;0001091D&quot;/&gt;&lt;wsp:rsid wsp:val=&quot;0001172D&quot;/&gt;&lt;wsp:rsid wsp:val=&quot;00014DDE&quot;/&gt;&lt;wsp:rsid wsp:val=&quot;00015620&quot;/&gt;&lt;wsp:rsid wsp:val=&quot;00016B52&quot;/&gt;&lt;wsp:rsid wsp:val=&quot;00016F13&quot;/&gt;&lt;wsp:rsid wsp:val=&quot;00022C00&quot;/&gt;&lt;wsp:rsid wsp:val=&quot;000233D9&quot;/&gt;&lt;wsp:rsid wsp:val=&quot;0002424B&quot;/&gt;&lt;wsp:rsid wsp:val=&quot;00024667&quot;/&gt;&lt;wsp:rsid wsp:val=&quot;00024AF0&quot;/&gt;&lt;wsp:rsid wsp:val=&quot;00025F5C&quot;/&gt;&lt;wsp:rsid wsp:val=&quot;00026624&quot;/&gt;&lt;wsp:rsid wsp:val=&quot;000317A6&quot;/&gt;&lt;wsp:rsid wsp:val=&quot;0003256A&quot;/&gt;&lt;wsp:rsid wsp:val=&quot;00033F3A&quot;/&gt;&lt;wsp:rsid wsp:val=&quot;0003443F&quot;/&gt;&lt;wsp:rsid wsp:val=&quot;00036322&quot;/&gt;&lt;wsp:rsid wsp:val=&quot;00037659&quot;/&gt;&lt;wsp:rsid wsp:val=&quot;000378E9&quot;/&gt;&lt;wsp:rsid wsp:val=&quot;00037B78&quot;/&gt;&lt;wsp:rsid wsp:val=&quot;00040099&quot;/&gt;&lt;wsp:rsid wsp:val=&quot;00040AC9&quot;/&gt;&lt;wsp:rsid wsp:val=&quot;00042C82&quot;/&gt;&lt;wsp:rsid wsp:val=&quot;0004375F&quot;/&gt;&lt;wsp:rsid wsp:val=&quot;00044E07&quot;/&gt;&lt;wsp:rsid wsp:val=&quot;00045CC8&quot;/&gt;&lt;wsp:rsid wsp:val=&quot;00046E57&quot;/&gt;&lt;wsp:rsid wsp:val=&quot;00046FA6&quot;/&gt;&lt;wsp:rsid wsp:val=&quot;00047C94&quot;/&gt;&lt;wsp:rsid wsp:val=&quot;00047CA8&quot;/&gt;&lt;wsp:rsid wsp:val=&quot;00050756&quot;/&gt;&lt;wsp:rsid wsp:val=&quot;00053387&quot;/&gt;&lt;wsp:rsid wsp:val=&quot;00053459&quot;/&gt;&lt;wsp:rsid wsp:val=&quot;00053AD4&quot;/&gt;&lt;wsp:rsid wsp:val=&quot;00055556&quot;/&gt;&lt;wsp:rsid wsp:val=&quot;0006051D&quot;/&gt;&lt;wsp:rsid wsp:val=&quot;00061FA3&quot;/&gt;&lt;wsp:rsid wsp:val=&quot;000634CE&quot;/&gt;&lt;wsp:rsid wsp:val=&quot;00063DC3&quot;/&gt;&lt;wsp:rsid wsp:val=&quot;00064A72&quot;/&gt;&lt;wsp:rsid wsp:val=&quot;00065C2F&quot;/&gt;&lt;wsp:rsid wsp:val=&quot;00066C59&quot;/&gt;&lt;wsp:rsid wsp:val=&quot;00066EB0&quot;/&gt;&lt;wsp:rsid wsp:val=&quot;00067D54&quot;/&gt;&lt;wsp:rsid wsp:val=&quot;00072B73&quot;/&gt;&lt;wsp:rsid wsp:val=&quot;00072C96&quot;/&gt;&lt;wsp:rsid wsp:val=&quot;00072D48&quot;/&gt;&lt;wsp:rsid wsp:val=&quot;00073359&quot;/&gt;&lt;wsp:rsid wsp:val=&quot;0007353C&quot;/&gt;&lt;wsp:rsid wsp:val=&quot;00074AB8&quot;/&gt;&lt;wsp:rsid wsp:val=&quot;00075848&quot;/&gt;&lt;wsp:rsid wsp:val=&quot;00077656&quot;/&gt;&lt;wsp:rsid wsp:val=&quot;00080E6B&quot;/&gt;&lt;wsp:rsid wsp:val=&quot;00080EC4&quot;/&gt;&lt;wsp:rsid wsp:val=&quot;0008215F&quot;/&gt;&lt;wsp:rsid wsp:val=&quot;00083670&quot;/&gt;&lt;wsp:rsid wsp:val=&quot;000857C2&quot;/&gt;&lt;wsp:rsid wsp:val=&quot;00085F40&quot;/&gt;&lt;wsp:rsid wsp:val=&quot;00087FB5&quot;/&gt;&lt;wsp:rsid wsp:val=&quot;00091824&quot;/&gt;&lt;wsp:rsid wsp:val=&quot;0009230B&quot;/&gt;&lt;wsp:rsid wsp:val=&quot;0009237E&quot;/&gt;&lt;wsp:rsid wsp:val=&quot;00093D7E&quot;/&gt;&lt;wsp:rsid wsp:val=&quot;0009412D&quot;/&gt;&lt;wsp:rsid wsp:val=&quot;00095FED&quot;/&gt;&lt;wsp:rsid wsp:val=&quot;0009664D&quot;/&gt;&lt;wsp:rsid wsp:val=&quot;000A0317&quot;/&gt;&lt;wsp:rsid wsp:val=&quot;000A0773&quot;/&gt;&lt;wsp:rsid wsp:val=&quot;000A0815&quot;/&gt;&lt;wsp:rsid wsp:val=&quot;000A136E&quot;/&gt;&lt;wsp:rsid wsp:val=&quot;000A3DFB&quot;/&gt;&lt;wsp:rsid wsp:val=&quot;000B009F&quot;/&gt;&lt;wsp:rsid wsp:val=&quot;000B0193&quot;/&gt;&lt;wsp:rsid wsp:val=&quot;000B0A22&quot;/&gt;&lt;wsp:rsid wsp:val=&quot;000B1491&quot;/&gt;&lt;wsp:rsid wsp:val=&quot;000B192D&quot;/&gt;&lt;wsp:rsid wsp:val=&quot;000B2DF5&quot;/&gt;&lt;wsp:rsid wsp:val=&quot;000B3A38&quot;/&gt;&lt;wsp:rsid wsp:val=&quot;000B5F96&quot;/&gt;&lt;wsp:rsid wsp:val=&quot;000B6F92&quot;/&gt;&lt;wsp:rsid wsp:val=&quot;000C0BA5&quot;/&gt;&lt;wsp:rsid wsp:val=&quot;000C0BF1&quot;/&gt;&lt;wsp:rsid wsp:val=&quot;000C1305&quot;/&gt;&lt;wsp:rsid wsp:val=&quot;000C1654&quot;/&gt;&lt;wsp:rsid wsp:val=&quot;000C332D&quot;/&gt;&lt;wsp:rsid wsp:val=&quot;000C3685&quot;/&gt;&lt;wsp:rsid wsp:val=&quot;000C462B&quot;/&gt;&lt;wsp:rsid wsp:val=&quot;000C5954&quot;/&gt;&lt;wsp:rsid wsp:val=&quot;000D1893&quot;/&gt;&lt;wsp:rsid wsp:val=&quot;000D38E3&quot;/&gt;&lt;wsp:rsid wsp:val=&quot;000D5D01&quot;/&gt;&lt;wsp:rsid wsp:val=&quot;000E14B5&quot;/&gt;&lt;wsp:rsid wsp:val=&quot;000E1A4A&quot;/&gt;&lt;wsp:rsid wsp:val=&quot;000E1C71&quot;/&gt;&lt;wsp:rsid wsp:val=&quot;000E2A96&quot;/&gt;&lt;wsp:rsid wsp:val=&quot;000E45BE&quot;/&gt;&lt;wsp:rsid wsp:val=&quot;000E6109&quot;/&gt;&lt;wsp:rsid wsp:val=&quot;000E63CE&quot;/&gt;&lt;wsp:rsid wsp:val=&quot;000E657B&quot;/&gt;&lt;wsp:rsid wsp:val=&quot;000E6BA9&quot;/&gt;&lt;wsp:rsid wsp:val=&quot;000E7528&quot;/&gt;&lt;wsp:rsid wsp:val=&quot;000F0556&quot;/&gt;&lt;wsp:rsid wsp:val=&quot;000F1379&quot;/&gt;&lt;wsp:rsid wsp:val=&quot;000F23E6&quot;/&gt;&lt;wsp:rsid wsp:val=&quot;000F2911&quot;/&gt;&lt;wsp:rsid wsp:val=&quot;000F3496&quot;/&gt;&lt;wsp:rsid wsp:val=&quot;00100B06&quot;/&gt;&lt;wsp:rsid wsp:val=&quot;00100EC6&quot;/&gt;&lt;wsp:rsid wsp:val=&quot;00102A5E&quot;/&gt;&lt;wsp:rsid wsp:val=&quot;00102CBD&quot;/&gt;&lt;wsp:rsid wsp:val=&quot;001041B2&quot;/&gt;&lt;wsp:rsid wsp:val=&quot;00104630&quot;/&gt;&lt;wsp:rsid wsp:val=&quot;00104D90&quot;/&gt;&lt;wsp:rsid wsp:val=&quot;0011502B&quot;/&gt;&lt;wsp:rsid wsp:val=&quot;00116A13&quot;/&gt;&lt;wsp:rsid wsp:val=&quot;00117298&quot;/&gt;&lt;wsp:rsid wsp:val=&quot;001205BB&quot;/&gt;&lt;wsp:rsid wsp:val=&quot;00121815&quot;/&gt;&lt;wsp:rsid wsp:val=&quot;00123423&quot;/&gt;&lt;wsp:rsid wsp:val=&quot;00124201&quot;/&gt;&lt;wsp:rsid wsp:val=&quot;0012424F&quot;/&gt;&lt;wsp:rsid wsp:val=&quot;00124437&quot;/&gt;&lt;wsp:rsid wsp:val=&quot;00126789&quot;/&gt;&lt;wsp:rsid wsp:val=&quot;00130D4D&quot;/&gt;&lt;wsp:rsid wsp:val=&quot;00132687&quot;/&gt;&lt;wsp:rsid wsp:val=&quot;0013514E&quot;/&gt;&lt;wsp:rsid wsp:val=&quot;00135D72&quot;/&gt;&lt;wsp:rsid wsp:val=&quot;001372C6&quot;/&gt;&lt;wsp:rsid wsp:val=&quot;001378A0&quot;/&gt;&lt;wsp:rsid wsp:val=&quot;00137DDB&quot;/&gt;&lt;wsp:rsid wsp:val=&quot;001400E0&quot;/&gt;&lt;wsp:rsid wsp:val=&quot;00140187&quot;/&gt;&lt;wsp:rsid wsp:val=&quot;0014150C&quot;/&gt;&lt;wsp:rsid wsp:val=&quot;00142D2D&quot;/&gt;&lt;wsp:rsid wsp:val=&quot;0014422E&quot;/&gt;&lt;wsp:rsid wsp:val=&quot;001467FE&quot;/&gt;&lt;wsp:rsid wsp:val=&quot;001477D5&quot;/&gt;&lt;wsp:rsid wsp:val=&quot;00151069&quot;/&gt;&lt;wsp:rsid wsp:val=&quot;00151119&quot;/&gt;&lt;wsp:rsid wsp:val=&quot;001514D1&quot;/&gt;&lt;wsp:rsid wsp:val=&quot;00152813&quot;/&gt;&lt;wsp:rsid wsp:val=&quot;00152E87&quot;/&gt;&lt;wsp:rsid wsp:val=&quot;00156D9C&quot;/&gt;&lt;wsp:rsid wsp:val=&quot;001572CF&quot;/&gt;&lt;wsp:rsid wsp:val=&quot;00161224&quot;/&gt;&lt;wsp:rsid wsp:val=&quot;001644A0&quot;/&gt;&lt;wsp:rsid wsp:val=&quot;00164C13&quot;/&gt;&lt;wsp:rsid wsp:val=&quot;00166510&quot;/&gt;&lt;wsp:rsid wsp:val=&quot;00166753&quot;/&gt;&lt;wsp:rsid wsp:val=&quot;00173051&quot;/&gt;&lt;wsp:rsid wsp:val=&quot;00174539&quot;/&gt;&lt;wsp:rsid wsp:val=&quot;00174875&quot;/&gt;&lt;wsp:rsid wsp:val=&quot;00174CE5&quot;/&gt;&lt;wsp:rsid wsp:val=&quot;00175CCD&quot;/&gt;&lt;wsp:rsid wsp:val=&quot;00176A68&quot;/&gt;&lt;wsp:rsid wsp:val=&quot;0017751E&quot;/&gt;&lt;wsp:rsid wsp:val=&quot;00180856&quot;/&gt;&lt;wsp:rsid wsp:val=&quot;001817D4&quot;/&gt;&lt;wsp:rsid wsp:val=&quot;00182FC3&quot;/&gt;&lt;wsp:rsid wsp:val=&quot;00183047&quot;/&gt;&lt;wsp:rsid wsp:val=&quot;0018337E&quot;/&gt;&lt;wsp:rsid wsp:val=&quot;00184827&quot;/&gt;&lt;wsp:rsid wsp:val=&quot;00184829&quot;/&gt;&lt;wsp:rsid wsp:val=&quot;001851C6&quot;/&gt;&lt;wsp:rsid wsp:val=&quot;00185CB3&quot;/&gt;&lt;wsp:rsid wsp:val=&quot;00186D63&quot;/&gt;&lt;wsp:rsid wsp:val=&quot;00186F40&quot;/&gt;&lt;wsp:rsid wsp:val=&quot;0018776B&quot;/&gt;&lt;wsp:rsid wsp:val=&quot;00194145&quot;/&gt;&lt;wsp:rsid wsp:val=&quot;00196BF2&quot;/&gt;&lt;wsp:rsid wsp:val=&quot;001972F6&quot;/&gt;&lt;wsp:rsid wsp:val=&quot;00197FB6&quot;/&gt;&lt;wsp:rsid wsp:val=&quot;001A3FF9&quot;/&gt;&lt;wsp:rsid wsp:val=&quot;001A4954&quot;/&gt;&lt;wsp:rsid wsp:val=&quot;001A6B71&quot;/&gt;&lt;wsp:rsid wsp:val=&quot;001B01F3&quot;/&gt;&lt;wsp:rsid wsp:val=&quot;001B13F5&quot;/&gt;&lt;wsp:rsid wsp:val=&quot;001B2528&quot;/&gt;&lt;wsp:rsid wsp:val=&quot;001B379D&quot;/&gt;&lt;wsp:rsid wsp:val=&quot;001B3E39&quot;/&gt;&lt;wsp:rsid wsp:val=&quot;001B587A&quot;/&gt;&lt;wsp:rsid wsp:val=&quot;001B68B3&quot;/&gt;&lt;wsp:rsid wsp:val=&quot;001B6A97&quot;/&gt;&lt;wsp:rsid wsp:val=&quot;001B764A&quot;/&gt;&lt;wsp:rsid wsp:val=&quot;001C2246&quot;/&gt;&lt;wsp:rsid wsp:val=&quot;001C2E9F&quot;/&gt;&lt;wsp:rsid wsp:val=&quot;001C72E9&quot;/&gt;&lt;wsp:rsid wsp:val=&quot;001D0510&quot;/&gt;&lt;wsp:rsid wsp:val=&quot;001D1DDF&quot;/&gt;&lt;wsp:rsid wsp:val=&quot;001D25F1&quot;/&gt;&lt;wsp:rsid wsp:val=&quot;001D4F59&quot;/&gt;&lt;wsp:rsid wsp:val=&quot;001E1AEA&quot;/&gt;&lt;wsp:rsid wsp:val=&quot;001E3FBA&quot;/&gt;&lt;wsp:rsid wsp:val=&quot;001E42B4&quot;/&gt;&lt;wsp:rsid wsp:val=&quot;001E4900&quot;/&gt;&lt;wsp:rsid wsp:val=&quot;001E5A3C&quot;/&gt;&lt;wsp:rsid wsp:val=&quot;001E5B1A&quot;/&gt;&lt;wsp:rsid wsp:val=&quot;001E6307&quot;/&gt;&lt;wsp:rsid wsp:val=&quot;001F098A&quot;/&gt;&lt;wsp:rsid wsp:val=&quot;001F3041&quot;/&gt;&lt;wsp:rsid wsp:val=&quot;001F4A92&quot;/&gt;&lt;wsp:rsid wsp:val=&quot;001F5C10&quot;/&gt;&lt;wsp:rsid wsp:val=&quot;001F636F&quot;/&gt;&lt;wsp:rsid wsp:val=&quot;001F75CE&quot;/&gt;&lt;wsp:rsid wsp:val=&quot;00200B80&quot;/&gt;&lt;wsp:rsid wsp:val=&quot;002010B6&quot;/&gt;&lt;wsp:rsid wsp:val=&quot;00202255&quot;/&gt;&lt;wsp:rsid wsp:val=&quot;002054D1&quot;/&gt;&lt;wsp:rsid wsp:val=&quot;002054D2&quot;/&gt;&lt;wsp:rsid wsp:val=&quot;0020556B&quot;/&gt;&lt;wsp:rsid wsp:val=&quot;002065DB&quot;/&gt;&lt;wsp:rsid wsp:val=&quot;0020715A&quot;/&gt;&lt;wsp:rsid wsp:val=&quot;00207B44&quot;/&gt;&lt;wsp:rsid wsp:val=&quot;002101C7&quot;/&gt;&lt;wsp:rsid wsp:val=&quot;00210CEB&quot;/&gt;&lt;wsp:rsid wsp:val=&quot;0021370C&quot;/&gt;&lt;wsp:rsid wsp:val=&quot;00214312&quot;/&gt;&lt;wsp:rsid wsp:val=&quot;0021548E&quot;/&gt;&lt;wsp:rsid wsp:val=&quot;00221E24&quot;/&gt;&lt;wsp:rsid wsp:val=&quot;0022381B&quot;/&gt;&lt;wsp:rsid wsp:val=&quot;002240C7&quot;/&gt;&lt;wsp:rsid wsp:val=&quot;0022525E&quot;/&gt;&lt;wsp:rsid wsp:val=&quot;00227656&quot;/&gt;&lt;wsp:rsid wsp:val=&quot;0023669B&quot;/&gt;&lt;wsp:rsid wsp:val=&quot;00237D71&quot;/&gt;&lt;wsp:rsid wsp:val=&quot;002409DC&quot;/&gt;&lt;wsp:rsid wsp:val=&quot;00243BD0&quot;/&gt;&lt;wsp:rsid wsp:val=&quot;002460B8&quot;/&gt;&lt;wsp:rsid wsp:val=&quot;0024749F&quot;/&gt;&lt;wsp:rsid wsp:val=&quot;0025044E&quot;/&gt;&lt;wsp:rsid wsp:val=&quot;00250525&quot;/&gt;&lt;wsp:rsid wsp:val=&quot;0025237E&quot;/&gt;&lt;wsp:rsid wsp:val=&quot;002528A7&quot;/&gt;&lt;wsp:rsid wsp:val=&quot;00253500&quot;/&gt;&lt;wsp:rsid wsp:val=&quot;00254401&quot;/&gt;&lt;wsp:rsid wsp:val=&quot;002559F6&quot;/&gt;&lt;wsp:rsid wsp:val=&quot;00255F92&quot;/&gt;&lt;wsp:rsid wsp:val=&quot;002564A7&quot;/&gt;&lt;wsp:rsid wsp:val=&quot;00257A0F&quot;/&gt;&lt;wsp:rsid wsp:val=&quot;00260D04&quot;/&gt;&lt;wsp:rsid wsp:val=&quot;002640F6&quot;/&gt;&lt;wsp:rsid wsp:val=&quot;0026795E&quot;/&gt;&lt;wsp:rsid wsp:val=&quot;00270714&quot;/&gt;&lt;wsp:rsid wsp:val=&quot;00270B62&quot;/&gt;&lt;wsp:rsid wsp:val=&quot;00275871&quot;/&gt;&lt;wsp:rsid wsp:val=&quot;00277854&quot;/&gt;&lt;wsp:rsid wsp:val=&quot;002830BE&quot;/&gt;&lt;wsp:rsid wsp:val=&quot;00283F35&quot;/&gt;&lt;wsp:rsid wsp:val=&quot;00286A92&quot;/&gt;&lt;wsp:rsid wsp:val=&quot;00286F39&quot;/&gt;&lt;wsp:rsid wsp:val=&quot;0028768B&quot;/&gt;&lt;wsp:rsid wsp:val=&quot;00287714&quot;/&gt;&lt;wsp:rsid wsp:val=&quot;002908E4&quot;/&gt;&lt;wsp:rsid wsp:val=&quot;00290A81&quot;/&gt;&lt;wsp:rsid wsp:val=&quot;00291089&quot;/&gt;&lt;wsp:rsid wsp:val=&quot;00291934&quot;/&gt;&lt;wsp:rsid wsp:val=&quot;00293ACB&quot;/&gt;&lt;wsp:rsid wsp:val=&quot;00295CF2&quot;/&gt;&lt;wsp:rsid wsp:val=&quot;00297E2B&quot;/&gt;&lt;wsp:rsid wsp:val=&quot;002A2694&quot;/&gt;&lt;wsp:rsid wsp:val=&quot;002A2D29&quot;/&gt;&lt;wsp:rsid wsp:val=&quot;002A309C&quot;/&gt;&lt;wsp:rsid wsp:val=&quot;002A39F1&quot;/&gt;&lt;wsp:rsid wsp:val=&quot;002A41B1&quot;/&gt;&lt;wsp:rsid wsp:val=&quot;002A4475&quot;/&gt;&lt;wsp:rsid wsp:val=&quot;002A7DE4&quot;/&gt;&lt;wsp:rsid wsp:val=&quot;002B324F&quot;/&gt;&lt;wsp:rsid wsp:val=&quot;002B4303&quot;/&gt;&lt;wsp:rsid wsp:val=&quot;002B7D92&quot;/&gt;&lt;wsp:rsid wsp:val=&quot;002B7E43&quot;/&gt;&lt;wsp:rsid wsp:val=&quot;002C131A&quot;/&gt;&lt;wsp:rsid wsp:val=&quot;002C2850&quot;/&gt;&lt;wsp:rsid wsp:val=&quot;002C298F&quot;/&gt;&lt;wsp:rsid wsp:val=&quot;002C33FC&quot;/&gt;&lt;wsp:rsid wsp:val=&quot;002C44E0&quot;/&gt;&lt;wsp:rsid wsp:val=&quot;002C4A90&quot;/&gt;&lt;wsp:rsid wsp:val=&quot;002C6C7B&quot;/&gt;&lt;wsp:rsid wsp:val=&quot;002C73B2&quot;/&gt;&lt;wsp:rsid wsp:val=&quot;002C740E&quot;/&gt;&lt;wsp:rsid wsp:val=&quot;002C7A06&quot;/&gt;&lt;wsp:rsid wsp:val=&quot;002D0D48&quot;/&gt;&lt;wsp:rsid wsp:val=&quot;002D11A7&quot;/&gt;&lt;wsp:rsid wsp:val=&quot;002D3E8B&quot;/&gt;&lt;wsp:rsid wsp:val=&quot;002D45F4&quot;/&gt;&lt;wsp:rsid wsp:val=&quot;002D48B9&quot;/&gt;&lt;wsp:rsid wsp:val=&quot;002D51E6&quot;/&gt;&lt;wsp:rsid wsp:val=&quot;002D6517&quot;/&gt;&lt;wsp:rsid wsp:val=&quot;002D6EC7&quot;/&gt;&lt;wsp:rsid wsp:val=&quot;002D7182&quot;/&gt;&lt;wsp:rsid wsp:val=&quot;002D7466&quot;/&gt;&lt;wsp:rsid wsp:val=&quot;002D7A27&quot;/&gt;&lt;wsp:rsid wsp:val=&quot;002E1529&quot;/&gt;&lt;wsp:rsid wsp:val=&quot;002E1B25&quot;/&gt;&lt;wsp:rsid wsp:val=&quot;002E7205&quot;/&gt;&lt;wsp:rsid wsp:val=&quot;002F2566&quot;/&gt;&lt;wsp:rsid wsp:val=&quot;002F4C1E&quot;/&gt;&lt;wsp:rsid wsp:val=&quot;002F5D49&quot;/&gt;&lt;wsp:rsid wsp:val=&quot;002F79AC&quot;/&gt;&lt;wsp:rsid wsp:val=&quot;00301CD4&quot;/&gt;&lt;wsp:rsid wsp:val=&quot;00302FFE&quot;/&gt;&lt;wsp:rsid wsp:val=&quot;003031AD&quot;/&gt;&lt;wsp:rsid wsp:val=&quot;00304CD8&quot;/&gt;&lt;wsp:rsid wsp:val=&quot;003068B5&quot;/&gt;&lt;wsp:rsid wsp:val=&quot;00307197&quot;/&gt;&lt;wsp:rsid wsp:val=&quot;00310C22&quot;/&gt;&lt;wsp:rsid wsp:val=&quot;00311FBE&quot;/&gt;&lt;wsp:rsid wsp:val=&quot;00314B15&quot;/&gt;&lt;wsp:rsid wsp:val=&quot;00315966&quot;/&gt;&lt;wsp:rsid wsp:val=&quot;00316195&quot;/&gt;&lt;wsp:rsid wsp:val=&quot;003170A0&quot;/&gt;&lt;wsp:rsid wsp:val=&quot;0032126A&quot;/&gt;&lt;wsp:rsid wsp:val=&quot;00323548&quot;/&gt;&lt;wsp:rsid wsp:val=&quot;00323962&quot;/&gt;&lt;wsp:rsid wsp:val=&quot;003247B3&quot;/&gt;&lt;wsp:rsid wsp:val=&quot;00325AE0&quot;/&gt;&lt;wsp:rsid wsp:val=&quot;00325DE0&quot;/&gt;&lt;wsp:rsid wsp:val=&quot;003263DE&quot;/&gt;&lt;wsp:rsid wsp:val=&quot;00326629&quot;/&gt;&lt;wsp:rsid wsp:val=&quot;00326920&quot;/&gt;&lt;wsp:rsid wsp:val=&quot;00326E16&quot;/&gt;&lt;wsp:rsid wsp:val=&quot;00327B34&quot;/&gt;&lt;wsp:rsid wsp:val=&quot;00331543&quot;/&gt;&lt;wsp:rsid wsp:val=&quot;00331662&quot;/&gt;&lt;wsp:rsid wsp:val=&quot;00332E2E&quot;/&gt;&lt;wsp:rsid wsp:val=&quot;00332EAB&quot;/&gt;&lt;wsp:rsid wsp:val=&quot;00334A28&quot;/&gt;&lt;wsp:rsid wsp:val=&quot;00335348&quot;/&gt;&lt;wsp:rsid wsp:val=&quot;00335849&quot;/&gt;&lt;wsp:rsid wsp:val=&quot;00337248&quot;/&gt;&lt;wsp:rsid wsp:val=&quot;003410B6&quot;/&gt;&lt;wsp:rsid wsp:val=&quot;00341F90&quot;/&gt;&lt;wsp:rsid wsp:val=&quot;003430B7&quot;/&gt;&lt;wsp:rsid wsp:val=&quot;00354030&quot;/&gt;&lt;wsp:rsid wsp:val=&quot;00354CD5&quot;/&gt;&lt;wsp:rsid wsp:val=&quot;00354F64&quot;/&gt;&lt;wsp:rsid wsp:val=&quot;00354FC6&quot;/&gt;&lt;wsp:rsid wsp:val=&quot;0035782B&quot;/&gt;&lt;wsp:rsid wsp:val=&quot;003637C0&quot;/&gt;&lt;wsp:rsid wsp:val=&quot;00363808&quot;/&gt;&lt;wsp:rsid wsp:val=&quot;00363BFF&quot;/&gt;&lt;wsp:rsid wsp:val=&quot;00363D31&quot;/&gt;&lt;wsp:rsid wsp:val=&quot;00363E46&quot;/&gt;&lt;wsp:rsid wsp:val=&quot;00365193&quot;/&gt;&lt;wsp:rsid wsp:val=&quot;0036568C&quot;/&gt;&lt;wsp:rsid wsp:val=&quot;003668E2&quot;/&gt;&lt;wsp:rsid wsp:val=&quot;00367174&quot;/&gt;&lt;wsp:rsid wsp:val=&quot;00373085&quot;/&gt;&lt;wsp:rsid wsp:val=&quot;003730CD&quot;/&gt;&lt;wsp:rsid wsp:val=&quot;00373832&quot;/&gt;&lt;wsp:rsid wsp:val=&quot;00374770&quot;/&gt;&lt;wsp:rsid wsp:val=&quot;00374E4D&quot;/&gt;&lt;wsp:rsid wsp:val=&quot;003751FB&quot;/&gt;&lt;wsp:rsid wsp:val=&quot;003765C8&quot;/&gt;&lt;wsp:rsid wsp:val=&quot;00376B70&quot;/&gt;&lt;wsp:rsid wsp:val=&quot;003770C1&quot;/&gt;&lt;wsp:rsid wsp:val=&quot;003778D7&quot;/&gt;&lt;wsp:rsid wsp:val=&quot;00380BF4&quot;/&gt;&lt;wsp:rsid wsp:val=&quot;00382369&quot;/&gt;&lt;wsp:rsid wsp:val=&quot;00384C3C&quot;/&gt;&lt;wsp:rsid wsp:val=&quot;003876EE&quot;/&gt;&lt;wsp:rsid wsp:val=&quot;00387BFC&quot;/&gt;&lt;wsp:rsid wsp:val=&quot;00390AAE&quot;/&gt;&lt;wsp:rsid wsp:val=&quot;00391C24&quot;/&gt;&lt;wsp:rsid wsp:val=&quot;0039308F&quot;/&gt;&lt;wsp:rsid wsp:val=&quot;00394189&quot;/&gt;&lt;wsp:rsid wsp:val=&quot;00394671&quot;/&gt;&lt;wsp:rsid wsp:val=&quot;00397102&quot;/&gt;&lt;wsp:rsid wsp:val=&quot;003972AC&quot;/&gt;&lt;wsp:rsid wsp:val=&quot;00397E63&quot;/&gt;&lt;wsp:rsid wsp:val=&quot;003A088B&quot;/&gt;&lt;wsp:rsid wsp:val=&quot;003A08D5&quot;/&gt;&lt;wsp:rsid wsp:val=&quot;003A1EE5&quot;/&gt;&lt;wsp:rsid wsp:val=&quot;003A33E9&quot;/&gt;&lt;wsp:rsid wsp:val=&quot;003A4559&quot;/&gt;&lt;wsp:rsid wsp:val=&quot;003A4ED4&quot;/&gt;&lt;wsp:rsid wsp:val=&quot;003A71A5&quot;/&gt;&lt;wsp:rsid wsp:val=&quot;003B0835&quot;/&gt;&lt;wsp:rsid wsp:val=&quot;003B3326&quot;/&gt;&lt;wsp:rsid wsp:val=&quot;003B5084&quot;/&gt;&lt;wsp:rsid wsp:val=&quot;003C0311&quot;/&gt;&lt;wsp:rsid wsp:val=&quot;003C1021&quot;/&gt;&lt;wsp:rsid wsp:val=&quot;003C56B1&quot;/&gt;&lt;wsp:rsid wsp:val=&quot;003C6C82&quot;/&gt;&lt;wsp:rsid wsp:val=&quot;003D2EFC&quot;/&gt;&lt;wsp:rsid wsp:val=&quot;003D6CE6&quot;/&gt;&lt;wsp:rsid wsp:val=&quot;003D6ED0&quot;/&gt;&lt;wsp:rsid wsp:val=&quot;003D7B46&quot;/&gt;&lt;wsp:rsid wsp:val=&quot;003D7BFF&quot;/&gt;&lt;wsp:rsid wsp:val=&quot;003E06C9&quot;/&gt;&lt;wsp:rsid wsp:val=&quot;003E108E&quot;/&gt;&lt;wsp:rsid wsp:val=&quot;003E1A56&quot;/&gt;&lt;wsp:rsid wsp:val=&quot;003E1D00&quot;/&gt;&lt;wsp:rsid wsp:val=&quot;003E2A98&quot;/&gt;&lt;wsp:rsid wsp:val=&quot;003E40C5&quot;/&gt;&lt;wsp:rsid wsp:val=&quot;003E4413&quot;/&gt;&lt;wsp:rsid wsp:val=&quot;003E50C6&quot;/&gt;&lt;wsp:rsid wsp:val=&quot;003E57DC&quot;/&gt;&lt;wsp:rsid wsp:val=&quot;003E6E4E&quot;/&gt;&lt;wsp:rsid wsp:val=&quot;003F11CD&quot;/&gt;&lt;wsp:rsid wsp:val=&quot;003F3F29&quot;/&gt;&lt;wsp:rsid wsp:val=&quot;003F4472&quot;/&gt;&lt;wsp:rsid wsp:val=&quot;003F480C&quot;/&gt;&lt;wsp:rsid wsp:val=&quot;003F590A&quot;/&gt;&lt;wsp:rsid wsp:val=&quot;003F68E3&quot;/&gt;&lt;wsp:rsid wsp:val=&quot;0040178D&quot;/&gt;&lt;wsp:rsid wsp:val=&quot;00402194&quot;/&gt;&lt;wsp:rsid wsp:val=&quot;00403315&quot;/&gt;&lt;wsp:rsid wsp:val=&quot;00405788&quot;/&gt;&lt;wsp:rsid wsp:val=&quot;004103A2&quot;/&gt;&lt;wsp:rsid wsp:val=&quot;0041169F&quot;/&gt;&lt;wsp:rsid wsp:val=&quot;00411C63&quot;/&gt;&lt;wsp:rsid wsp:val=&quot;004126E1&quot;/&gt;&lt;wsp:rsid wsp:val=&quot;0041275B&quot;/&gt;&lt;wsp:rsid wsp:val=&quot;00413AE3&quot;/&gt;&lt;wsp:rsid wsp:val=&quot;00413D84&quot;/&gt;&lt;wsp:rsid wsp:val=&quot;00415D28&quot;/&gt;&lt;wsp:rsid wsp:val=&quot;00416268&quot;/&gt;&lt;wsp:rsid wsp:val=&quot;0041737D&quot;/&gt;&lt;wsp:rsid wsp:val=&quot;004207E4&quot;/&gt;&lt;wsp:rsid wsp:val=&quot;00424072&quot;/&gt;&lt;wsp:rsid wsp:val=&quot;00424210&quot;/&gt;&lt;wsp:rsid wsp:val=&quot;00425A9F&quot;/&gt;&lt;wsp:rsid wsp:val=&quot;00425E8B&quot;/&gt;&lt;wsp:rsid wsp:val=&quot;00427C2A&quot;/&gt;&lt;wsp:rsid wsp:val=&quot;0043054B&quot;/&gt;&lt;wsp:rsid wsp:val=&quot;0043124A&quot;/&gt;&lt;wsp:rsid wsp:val=&quot;00433539&quot;/&gt;&lt;wsp:rsid wsp:val=&quot;00434E68&quot;/&gt;&lt;wsp:rsid wsp:val=&quot;004402BB&quot;/&gt;&lt;wsp:rsid wsp:val=&quot;00441733&quot;/&gt;&lt;wsp:rsid wsp:val=&quot;004417E3&quot;/&gt;&lt;wsp:rsid wsp:val=&quot;00441FB3&quot;/&gt;&lt;wsp:rsid wsp:val=&quot;0044237F&quot;/&gt;&lt;wsp:rsid wsp:val=&quot;004435E2&quot;/&gt;&lt;wsp:rsid wsp:val=&quot;00445BF7&quot;/&gt;&lt;wsp:rsid wsp:val=&quot;00450303&quot;/&gt;&lt;wsp:rsid wsp:val=&quot;00452A9C&quot;/&gt;&lt;wsp:rsid wsp:val=&quot;00454369&quot;/&gt;&lt;wsp:rsid wsp:val=&quot;00454902&quot;/&gt;&lt;wsp:rsid wsp:val=&quot;00454D64&quot;/&gt;&lt;wsp:rsid wsp:val=&quot;00457620&quot;/&gt;&lt;wsp:rsid wsp:val=&quot;0046022E&quot;/&gt;&lt;wsp:rsid wsp:val=&quot;00460845&quot;/&gt;&lt;wsp:rsid wsp:val=&quot;00460E77&quot;/&gt;&lt;wsp:rsid wsp:val=&quot;004630EE&quot;/&gt;&lt;wsp:rsid wsp:val=&quot;00463FB6&quot;/&gt;&lt;wsp:rsid wsp:val=&quot;004675BB&quot;/&gt;&lt;wsp:rsid wsp:val=&quot;00470539&quot;/&gt;&lt;wsp:rsid wsp:val=&quot;004714F0&quot;/&gt;&lt;wsp:rsid wsp:val=&quot;00471742&quot;/&gt;&lt;wsp:rsid wsp:val=&quot;00472549&quot;/&gt;&lt;wsp:rsid wsp:val=&quot;00472B85&quot;/&gt;&lt;wsp:rsid wsp:val=&quot;00473AD9&quot;/&gt;&lt;wsp:rsid wsp:val=&quot;00473E92&quot;/&gt;&lt;wsp:rsid wsp:val=&quot;00473ED7&quot;/&gt;&lt;wsp:rsid wsp:val=&quot;00475CB5&quot;/&gt;&lt;wsp:rsid wsp:val=&quot;00475F88&quot;/&gt;&lt;wsp:rsid wsp:val=&quot;00480384&quot;/&gt;&lt;wsp:rsid wsp:val=&quot;00480D39&quot;/&gt;&lt;wsp:rsid wsp:val=&quot;00480D99&quot;/&gt;&lt;wsp:rsid wsp:val=&quot;0048136F&quot;/&gt;&lt;wsp:rsid wsp:val=&quot;00481EFB&quot;/&gt;&lt;wsp:rsid wsp:val=&quot;004829CD&quot;/&gt;&lt;wsp:rsid wsp:val=&quot;0048420E&quot;/&gt;&lt;wsp:rsid wsp:val=&quot;004854A5&quot;/&gt;&lt;wsp:rsid wsp:val=&quot;0048779C&quot;/&gt;&lt;wsp:rsid wsp:val=&quot;00487B3C&quot;/&gt;&lt;wsp:rsid wsp:val=&quot;00487D35&quot;/&gt;&lt;wsp:rsid wsp:val=&quot;004905BB&quot;/&gt;&lt;wsp:rsid wsp:val=&quot;004909CF&quot;/&gt;&lt;wsp:rsid wsp:val=&quot;00491711&quot;/&gt;&lt;wsp:rsid wsp:val=&quot;004923A0&quot;/&gt;&lt;wsp:rsid wsp:val=&quot;00492787&quot;/&gt;&lt;wsp:rsid wsp:val=&quot;00492C77&quot;/&gt;&lt;wsp:rsid wsp:val=&quot;0049405B&quot;/&gt;&lt;wsp:rsid wsp:val=&quot;004941D8&quot;/&gt;&lt;wsp:rsid wsp:val=&quot;00494D88&quot;/&gt;&lt;wsp:rsid wsp:val=&quot;00497C36&quot;/&gt;&lt;wsp:rsid wsp:val=&quot;004A01F5&quot;/&gt;&lt;wsp:rsid wsp:val=&quot;004A0467&quot;/&gt;&lt;wsp:rsid wsp:val=&quot;004A1533&quot;/&gt;&lt;wsp:rsid wsp:val=&quot;004A215D&quot;/&gt;&lt;wsp:rsid wsp:val=&quot;004A2218&quot;/&gt;&lt;wsp:rsid wsp:val=&quot;004A2A8B&quot;/&gt;&lt;wsp:rsid wsp:val=&quot;004A3C0A&quot;/&gt;&lt;wsp:rsid wsp:val=&quot;004A55E3&quot;/&gt;&lt;wsp:rsid wsp:val=&quot;004B0981&quot;/&gt;&lt;wsp:rsid wsp:val=&quot;004B0A15&quot;/&gt;&lt;wsp:rsid wsp:val=&quot;004B4720&quot;/&gt;&lt;wsp:rsid wsp:val=&quot;004B49CD&quot;/&gt;&lt;wsp:rsid wsp:val=&quot;004B64B8&quot;/&gt;&lt;wsp:rsid wsp:val=&quot;004B722F&quot;/&gt;&lt;wsp:rsid wsp:val=&quot;004B7B48&quot;/&gt;&lt;wsp:rsid wsp:val=&quot;004C09FB&quot;/&gt;&lt;wsp:rsid wsp:val=&quot;004C10AE&quot;/&gt;&lt;wsp:rsid wsp:val=&quot;004C19ED&quot;/&gt;&lt;wsp:rsid wsp:val=&quot;004C2707&quot;/&gt;&lt;wsp:rsid wsp:val=&quot;004C2769&quot;/&gt;&lt;wsp:rsid wsp:val=&quot;004C30E3&quot;/&gt;&lt;wsp:rsid wsp:val=&quot;004C359C&quot;/&gt;&lt;wsp:rsid wsp:val=&quot;004C3F88&quot;/&gt;&lt;wsp:rsid wsp:val=&quot;004C6D76&quot;/&gt;&lt;wsp:rsid wsp:val=&quot;004C7BCB&quot;/&gt;&lt;wsp:rsid wsp:val=&quot;004D12A5&quot;/&gt;&lt;wsp:rsid wsp:val=&quot;004D13FB&quot;/&gt;&lt;wsp:rsid wsp:val=&quot;004D5332&quot;/&gt;&lt;wsp:rsid wsp:val=&quot;004D7220&quot;/&gt;&lt;wsp:rsid wsp:val=&quot;004D7923&quot;/&gt;&lt;wsp:rsid wsp:val=&quot;004E04EF&quot;/&gt;&lt;wsp:rsid wsp:val=&quot;004E084D&quot;/&gt;&lt;wsp:rsid wsp:val=&quot;004E0F38&quot;/&gt;&lt;wsp:rsid wsp:val=&quot;004E0F6E&quot;/&gt;&lt;wsp:rsid wsp:val=&quot;004E1B61&quot;/&gt;&lt;wsp:rsid wsp:val=&quot;004E323C&quot;/&gt;&lt;wsp:rsid wsp:val=&quot;004E4309&quot;/&gt;&lt;wsp:rsid wsp:val=&quot;004E56FD&quot;/&gt;&lt;wsp:rsid wsp:val=&quot;004F002E&quot;/&gt;&lt;wsp:rsid wsp:val=&quot;004F1336&quot;/&gt;&lt;wsp:rsid wsp:val=&quot;004F30F1&quot;/&gt;&lt;wsp:rsid wsp:val=&quot;004F3570&quot;/&gt;&lt;wsp:rsid wsp:val=&quot;004F68F2&quot;/&gt;&lt;wsp:rsid wsp:val=&quot;004F7C97&quot;/&gt;&lt;wsp:rsid wsp:val=&quot;00500E64&quot;/&gt;&lt;wsp:rsid wsp:val=&quot;00501335&quot;/&gt;&lt;wsp:rsid wsp:val=&quot;00501374&quot;/&gt;&lt;wsp:rsid wsp:val=&quot;0050232F&quot;/&gt;&lt;wsp:rsid wsp:val=&quot;00504CA6&quot;/&gt;&lt;wsp:rsid wsp:val=&quot;0050739A&quot;/&gt;&lt;wsp:rsid wsp:val=&quot;0051223F&quot;/&gt;&lt;wsp:rsid wsp:val=&quot;005136E6&quot;/&gt;&lt;wsp:rsid wsp:val=&quot;00513E3C&quot;/&gt;&lt;wsp:rsid wsp:val=&quot;00520C1B&quot;/&gt;&lt;wsp:rsid wsp:val=&quot;00520D65&quot;/&gt;&lt;wsp:rsid wsp:val=&quot;00520D66&quot;/&gt;&lt;wsp:rsid wsp:val=&quot;0052137F&quot;/&gt;&lt;wsp:rsid wsp:val=&quot;0052159B&quot;/&gt;&lt;wsp:rsid wsp:val=&quot;00522273&quot;/&gt;&lt;wsp:rsid wsp:val=&quot;0052258C&quot;/&gt;&lt;wsp:rsid wsp:val=&quot;0052294A&quot;/&gt;&lt;wsp:rsid wsp:val=&quot;0052319C&quot;/&gt;&lt;wsp:rsid wsp:val=&quot;00524D17&quot;/&gt;&lt;wsp:rsid wsp:val=&quot;00525A13&quot;/&gt;&lt;wsp:rsid wsp:val=&quot;00525F1D&quot;/&gt;&lt;wsp:rsid wsp:val=&quot;00526F6C&quot;/&gt;&lt;wsp:rsid wsp:val=&quot;0052742B&quot;/&gt;&lt;wsp:rsid wsp:val=&quot;00530A36&quot;/&gt;&lt;wsp:rsid wsp:val=&quot;00531DE8&quot;/&gt;&lt;wsp:rsid wsp:val=&quot;00532B8B&quot;/&gt;&lt;wsp:rsid wsp:val=&quot;00534732&quot;/&gt;&lt;wsp:rsid wsp:val=&quot;0053486B&quot;/&gt;&lt;wsp:rsid wsp:val=&quot;0053526E&quot;/&gt;&lt;wsp:rsid wsp:val=&quot;00541A2C&quot;/&gt;&lt;wsp:rsid wsp:val=&quot;00546364&quot;/&gt;&lt;wsp:rsid wsp:val=&quot;00547548&quot;/&gt;&lt;wsp:rsid wsp:val=&quot;00547A82&quot;/&gt;&lt;wsp:rsid wsp:val=&quot;00547D11&quot;/&gt;&lt;wsp:rsid wsp:val=&quot;00550DEB&quot;/&gt;&lt;wsp:rsid wsp:val=&quot;00552326&quot;/&gt;&lt;wsp:rsid wsp:val=&quot;00552B38&quot;/&gt;&lt;wsp:rsid wsp:val=&quot;00553D30&quot;/&gt;&lt;wsp:rsid wsp:val=&quot;00554ABA&quot;/&gt;&lt;wsp:rsid wsp:val=&quot;00555D8E&quot;/&gt;&lt;wsp:rsid wsp:val=&quot;005604B3&quot;/&gt;&lt;wsp:rsid wsp:val=&quot;00560E96&quot;/&gt;&lt;wsp:rsid wsp:val=&quot;0056190D&quot;/&gt;&lt;wsp:rsid wsp:val=&quot;00562470&quot;/&gt;&lt;wsp:rsid wsp:val=&quot;0056442A&quot;/&gt;&lt;wsp:rsid wsp:val=&quot;00564478&quot;/&gt;&lt;wsp:rsid wsp:val=&quot;00564B67&quot;/&gt;&lt;wsp:rsid wsp:val=&quot;00565093&quot;/&gt;&lt;wsp:rsid wsp:val=&quot;00566DFE&quot;/&gt;&lt;wsp:rsid wsp:val=&quot;00570153&quot;/&gt;&lt;wsp:rsid wsp:val=&quot;00574E6C&quot;/&gt;&lt;wsp:rsid wsp:val=&quot;00576550&quot;/&gt;&lt;wsp:rsid wsp:val=&quot;00577A2D&quot;/&gt;&lt;wsp:rsid wsp:val=&quot;00580405&quot;/&gt;&lt;wsp:rsid wsp:val=&quot;00580F09&quot;/&gt;&lt;wsp:rsid wsp:val=&quot;00581CA0&quot;/&gt;&lt;wsp:rsid wsp:val=&quot;00582B02&quot;/&gt;&lt;wsp:rsid wsp:val=&quot;005839A9&quot;/&gt;&lt;wsp:rsid wsp:val=&quot;005845B5&quot;/&gt;&lt;wsp:rsid wsp:val=&quot;005855D5&quot;/&gt;&lt;wsp:rsid wsp:val=&quot;00585B88&quot;/&gt;&lt;wsp:rsid wsp:val=&quot;00585BB0&quot;/&gt;&lt;wsp:rsid wsp:val=&quot;00586754&quot;/&gt;&lt;wsp:rsid wsp:val=&quot;0058708B&quot;/&gt;&lt;wsp:rsid wsp:val=&quot;00587616&quot;/&gt;&lt;wsp:rsid wsp:val=&quot;005906A2&quot;/&gt;&lt;wsp:rsid wsp:val=&quot;00590770&quot;/&gt;&lt;wsp:rsid wsp:val=&quot;00592608&quot;/&gt;&lt;wsp:rsid wsp:val=&quot;00592E49&quot;/&gt;&lt;wsp:rsid wsp:val=&quot;00596E7F&quot;/&gt;&lt;wsp:rsid wsp:val=&quot;005973B3&quot;/&gt;&lt;wsp:rsid wsp:val=&quot;005977E6&quot;/&gt;&lt;wsp:rsid wsp:val=&quot;005A0B95&quot;/&gt;&lt;wsp:rsid wsp:val=&quot;005A0C91&quot;/&gt;&lt;wsp:rsid wsp:val=&quot;005A17FC&quot;/&gt;&lt;wsp:rsid wsp:val=&quot;005A4444&quot;/&gt;&lt;wsp:rsid wsp:val=&quot;005A5FC0&quot;/&gt;&lt;wsp:rsid wsp:val=&quot;005A64D1&quot;/&gt;&lt;wsp:rsid wsp:val=&quot;005B052D&quot;/&gt;&lt;wsp:rsid wsp:val=&quot;005B0DE9&quot;/&gt;&lt;wsp:rsid wsp:val=&quot;005B1EEE&quot;/&gt;&lt;wsp:rsid wsp:val=&quot;005B4154&quot;/&gt;&lt;wsp:rsid wsp:val=&quot;005B421A&quot;/&gt;&lt;wsp:rsid wsp:val=&quot;005B53EC&quot;/&gt;&lt;wsp:rsid wsp:val=&quot;005B6B4D&quot;/&gt;&lt;wsp:rsid wsp:val=&quot;005C0DDE&quot;/&gt;&lt;wsp:rsid wsp:val=&quot;005C357C&quot;/&gt;&lt;wsp:rsid wsp:val=&quot;005C4ADA&quot;/&gt;&lt;wsp:rsid wsp:val=&quot;005D0754&quot;/&gt;&lt;wsp:rsid wsp:val=&quot;005D145A&quot;/&gt;&lt;wsp:rsid wsp:val=&quot;005D20F5&quot;/&gt;&lt;wsp:rsid wsp:val=&quot;005D2A78&quot;/&gt;&lt;wsp:rsid wsp:val=&quot;005E0699&quot;/&gt;&lt;wsp:rsid wsp:val=&quot;005E1B07&quot;/&gt;&lt;wsp:rsid wsp:val=&quot;005E2A95&quot;/&gt;&lt;wsp:rsid wsp:val=&quot;005E2E14&quot;/&gt;&lt;wsp:rsid wsp:val=&quot;005E5CF3&quot;/&gt;&lt;wsp:rsid wsp:val=&quot;005E638B&quot;/&gt;&lt;wsp:rsid wsp:val=&quot;005F0079&quot;/&gt;&lt;wsp:rsid wsp:val=&quot;005F08FB&quot;/&gt;&lt;wsp:rsid wsp:val=&quot;005F1732&quot;/&gt;&lt;wsp:rsid wsp:val=&quot;005F2E05&quot;/&gt;&lt;wsp:rsid wsp:val=&quot;005F5D45&quot;/&gt;&lt;wsp:rsid wsp:val=&quot;005F620B&quot;/&gt;&lt;wsp:rsid wsp:val=&quot;005F685E&quot;/&gt;&lt;wsp:rsid wsp:val=&quot;005F7FA1&quot;/&gt;&lt;wsp:rsid wsp:val=&quot;0060026C&quot;/&gt;&lt;wsp:rsid wsp:val=&quot;006035C2&quot;/&gt;&lt;wsp:rsid wsp:val=&quot;0060401A&quot;/&gt;&lt;wsp:rsid wsp:val=&quot;006042F5&quot;/&gt;&lt;wsp:rsid wsp:val=&quot;006060D2&quot;/&gt;&lt;wsp:rsid wsp:val=&quot;006062F7&quot;/&gt;&lt;wsp:rsid wsp:val=&quot;00606A11&quot;/&gt;&lt;wsp:rsid wsp:val=&quot;006074E7&quot;/&gt;&lt;wsp:rsid wsp:val=&quot;0061119B&quot;/&gt;&lt;wsp:rsid wsp:val=&quot;006127F1&quot;/&gt;&lt;wsp:rsid wsp:val=&quot;0061493E&quot;/&gt;&lt;wsp:rsid wsp:val=&quot;00614FFE&quot;/&gt;&lt;wsp:rsid wsp:val=&quot;00617530&quot;/&gt;&lt;wsp:rsid wsp:val=&quot;006178DC&quot;/&gt;&lt;wsp:rsid wsp:val=&quot;00617E4F&quot;/&gt;&lt;wsp:rsid wsp:val=&quot;00620834&quot;/&gt;&lt;wsp:rsid wsp:val=&quot;00622303&quot;/&gt;&lt;wsp:rsid wsp:val=&quot;006229F9&quot;/&gt;&lt;wsp:rsid wsp:val=&quot;00623809&quot;/&gt;&lt;wsp:rsid wsp:val=&quot;00625F88&quot;/&gt;&lt;wsp:rsid wsp:val=&quot;0062715B&quot;/&gt;&lt;wsp:rsid wsp:val=&quot;0063119D&quot;/&gt;&lt;wsp:rsid wsp:val=&quot;00633812&quot;/&gt;&lt;wsp:rsid wsp:val=&quot;00634578&quot;/&gt;&lt;wsp:rsid wsp:val=&quot;00636E41&quot;/&gt;&lt;wsp:rsid wsp:val=&quot;00636F23&quot;/&gt;&lt;wsp:rsid wsp:val=&quot;00640066&quot;/&gt;&lt;wsp:rsid wsp:val=&quot;00654AD3&quot;/&gt;&lt;wsp:rsid wsp:val=&quot;00655341&quot;/&gt;&lt;wsp:rsid wsp:val=&quot;00655659&quot;/&gt;&lt;wsp:rsid wsp:val=&quot;00656F74&quot;/&gt;&lt;wsp:rsid wsp:val=&quot;006612BE&quot;/&gt;&lt;wsp:rsid wsp:val=&quot;006613C3&quot;/&gt;&lt;wsp:rsid wsp:val=&quot;00665002&quot;/&gt;&lt;wsp:rsid wsp:val=&quot;006662E3&quot;/&gt;&lt;wsp:rsid wsp:val=&quot;006665C0&quot;/&gt;&lt;wsp:rsid wsp:val=&quot;00670894&quot;/&gt;&lt;wsp:rsid wsp:val=&quot;00670F80&quot;/&gt;&lt;wsp:rsid wsp:val=&quot;00671663&quot;/&gt;&lt;wsp:rsid wsp:val=&quot;0067274F&quot;/&gt;&lt;wsp:rsid wsp:val=&quot;0067277D&quot;/&gt;&lt;wsp:rsid wsp:val=&quot;006728A5&quot;/&gt;&lt;wsp:rsid wsp:val=&quot;00673931&quot;/&gt;&lt;wsp:rsid wsp:val=&quot;006744AB&quot;/&gt;&lt;wsp:rsid wsp:val=&quot;00675398&quot;/&gt;&lt;wsp:rsid wsp:val=&quot;00676F3C&quot;/&gt;&lt;wsp:rsid wsp:val=&quot;0068020D&quot;/&gt;&lt;wsp:rsid wsp:val=&quot;006810D7&quot;/&gt;&lt;wsp:rsid wsp:val=&quot;006846D3&quot;/&gt;&lt;wsp:rsid wsp:val=&quot;00684B48&quot;/&gt;&lt;wsp:rsid wsp:val=&quot;006879A1&quot;/&gt;&lt;wsp:rsid wsp:val=&quot;006879C9&quot;/&gt;&lt;wsp:rsid wsp:val=&quot;00690745&quot;/&gt;&lt;wsp:rsid wsp:val=&quot;00692787&quot;/&gt;&lt;wsp:rsid wsp:val=&quot;006932B6&quot;/&gt;&lt;wsp:rsid wsp:val=&quot;00694213&quot;/&gt;&lt;wsp:rsid wsp:val=&quot;00695E05&quot;/&gt;&lt;wsp:rsid wsp:val=&quot;006A0899&quot;/&gt;&lt;wsp:rsid wsp:val=&quot;006A12F4&quot;/&gt;&lt;wsp:rsid wsp:val=&quot;006A1910&quot;/&gt;&lt;wsp:rsid wsp:val=&quot;006A1952&quot;/&gt;&lt;wsp:rsid wsp:val=&quot;006A25C2&quot;/&gt;&lt;wsp:rsid wsp:val=&quot;006A2FFB&quot;/&gt;&lt;wsp:rsid wsp:val=&quot;006A3D05&quot;/&gt;&lt;wsp:rsid wsp:val=&quot;006A47F4&quot;/&gt;&lt;wsp:rsid wsp:val=&quot;006A5554&quot;/&gt;&lt;wsp:rsid wsp:val=&quot;006A7B69&quot;/&gt;&lt;wsp:rsid wsp:val=&quot;006B052B&quot;/&gt;&lt;wsp:rsid wsp:val=&quot;006B1147&quot;/&gt;&lt;wsp:rsid wsp:val=&quot;006B1E0F&quot;/&gt;&lt;wsp:rsid wsp:val=&quot;006B487F&quot;/&gt;&lt;wsp:rsid wsp:val=&quot;006B5231&quot;/&gt;&lt;wsp:rsid wsp:val=&quot;006B590D&quot;/&gt;&lt;wsp:rsid wsp:val=&quot;006C42CD&quot;/&gt;&lt;wsp:rsid wsp:val=&quot;006C4C69&quot;/&gt;&lt;wsp:rsid wsp:val=&quot;006C5DAC&quot;/&gt;&lt;wsp:rsid wsp:val=&quot;006C724B&quot;/&gt;&lt;wsp:rsid wsp:val=&quot;006C782F&quot;/&gt;&lt;wsp:rsid wsp:val=&quot;006C7AFD&quot;/&gt;&lt;wsp:rsid wsp:val=&quot;006D040E&quot;/&gt;&lt;wsp:rsid wsp:val=&quot;006D2099&quot;/&gt;&lt;wsp:rsid wsp:val=&quot;006D3358&quot;/&gt;&lt;wsp:rsid wsp:val=&quot;006D4C96&quot;/&gt;&lt;wsp:rsid wsp:val=&quot;006D548C&quot;/&gt;&lt;wsp:rsid wsp:val=&quot;006D7509&quot;/&gt;&lt;wsp:rsid wsp:val=&quot;006D793D&quot;/&gt;&lt;wsp:rsid wsp:val=&quot;006E2188&quot;/&gt;&lt;wsp:rsid wsp:val=&quot;006E404B&quot;/&gt;&lt;wsp:rsid wsp:val=&quot;006E6E6A&quot;/&gt;&lt;wsp:rsid wsp:val=&quot;006F0C80&quot;/&gt;&lt;wsp:rsid wsp:val=&quot;006F4A1B&quot;/&gt;&lt;wsp:rsid wsp:val=&quot;00700A51&quot;/&gt;&lt;wsp:rsid wsp:val=&quot;00700C04&quot;/&gt;&lt;wsp:rsid wsp:val=&quot;007016E6&quot;/&gt;&lt;wsp:rsid wsp:val=&quot;00701CAC&quot;/&gt;&lt;wsp:rsid wsp:val=&quot;00701D31&quot;/&gt;&lt;wsp:rsid wsp:val=&quot;0070473F&quot;/&gt;&lt;wsp:rsid wsp:val=&quot;00711D1D&quot;/&gt;&lt;wsp:rsid wsp:val=&quot;007148C0&quot;/&gt;&lt;wsp:rsid wsp:val=&quot;007152A3&quot;/&gt;&lt;wsp:rsid wsp:val=&quot;00716EBC&quot;/&gt;&lt;wsp:rsid wsp:val=&quot;007177CF&quot;/&gt;&lt;wsp:rsid wsp:val=&quot;0072452D&quot;/&gt;&lt;wsp:rsid wsp:val=&quot;00727641&quot;/&gt;&lt;wsp:rsid wsp:val=&quot;00727702&quot;/&gt;&lt;wsp:rsid wsp:val=&quot;00730AA8&quot;/&gt;&lt;wsp:rsid wsp:val=&quot;007315AD&quot;/&gt;&lt;wsp:rsid wsp:val=&quot;00732DD2&quot;/&gt;&lt;wsp:rsid wsp:val=&quot;00733FDA&quot;/&gt;&lt;wsp:rsid wsp:val=&quot;00734446&quot;/&gt;&lt;wsp:rsid wsp:val=&quot;007361BC&quot;/&gt;&lt;wsp:rsid wsp:val=&quot;00740DDA&quot;/&gt;&lt;wsp:rsid wsp:val=&quot;00743B6D&quot;/&gt;&lt;wsp:rsid wsp:val=&quot;00743E1A&quot;/&gt;&lt;wsp:rsid wsp:val=&quot;00746C8F&quot;/&gt;&lt;wsp:rsid wsp:val=&quot;0074705E&quot;/&gt;&lt;wsp:rsid wsp:val=&quot;00747062&quot;/&gt;&lt;wsp:rsid wsp:val=&quot;00750781&quot;/&gt;&lt;wsp:rsid wsp:val=&quot;00751CCB&quot;/&gt;&lt;wsp:rsid wsp:val=&quot;007521D7&quot;/&gt;&lt;wsp:rsid wsp:val=&quot;00753057&quot;/&gt;&lt;wsp:rsid wsp:val=&quot;00753409&quot;/&gt;&lt;wsp:rsid wsp:val=&quot;00754240&quot;/&gt;&lt;wsp:rsid wsp:val=&quot;007548F9&quot;/&gt;&lt;wsp:rsid wsp:val=&quot;00755ACA&quot;/&gt;&lt;wsp:rsid wsp:val=&quot;00760A5E&quot;/&gt;&lt;wsp:rsid wsp:val=&quot;00761D75&quot;/&gt;&lt;wsp:rsid wsp:val=&quot;00762104&quot;/&gt;&lt;wsp:rsid wsp:val=&quot;00762FF6&quot;/&gt;&lt;wsp:rsid wsp:val=&quot;0076496E&quot;/&gt;&lt;wsp:rsid wsp:val=&quot;00764C6B&quot;/&gt;&lt;wsp:rsid wsp:val=&quot;007724B8&quot;/&gt;&lt;wsp:rsid wsp:val=&quot;0077267D&quot;/&gt;&lt;wsp:rsid wsp:val=&quot;007740C9&quot;/&gt;&lt;wsp:rsid wsp:val=&quot;00775A0D&quot;/&gt;&lt;wsp:rsid wsp:val=&quot;00776353&quot;/&gt;&lt;wsp:rsid wsp:val=&quot;00776D8B&quot;/&gt;&lt;wsp:rsid wsp:val=&quot;00776F9D&quot;/&gt;&lt;wsp:rsid wsp:val=&quot;00777453&quot;/&gt;&lt;wsp:rsid wsp:val=&quot;00777D84&quot;/&gt;&lt;wsp:rsid wsp:val=&quot;00780126&quot;/&gt;&lt;wsp:rsid wsp:val=&quot;00780B35&quot;/&gt;&lt;wsp:rsid wsp:val=&quot;0078215A&quot;/&gt;&lt;wsp:rsid wsp:val=&quot;00782D0D&quot;/&gt;&lt;wsp:rsid wsp:val=&quot;0078392F&quot;/&gt;&lt;wsp:rsid wsp:val=&quot;00783D7E&quot;/&gt;&lt;wsp:rsid wsp:val=&quot;00783E19&quot;/&gt;&lt;wsp:rsid wsp:val=&quot;00786C92&quot;/&gt;&lt;wsp:rsid wsp:val=&quot;00787213&quot;/&gt;&lt;wsp:rsid wsp:val=&quot;0079010A&quot;/&gt;&lt;wsp:rsid wsp:val=&quot;00791917&quot;/&gt;&lt;wsp:rsid wsp:val=&quot;00791A23&quot;/&gt;&lt;wsp:rsid wsp:val=&quot;00791DF8&quot;/&gt;&lt;wsp:rsid wsp:val=&quot;00792009&quot;/&gt;&lt;wsp:rsid wsp:val=&quot;0079354A&quot;/&gt;&lt;wsp:rsid wsp:val=&quot;00794CD6&quot;/&gt;&lt;wsp:rsid wsp:val=&quot;007954E3&quot;/&gt;&lt;wsp:rsid wsp:val=&quot;00795DEA&quot;/&gt;&lt;wsp:rsid wsp:val=&quot;00795DF6&quot;/&gt;&lt;wsp:rsid wsp:val=&quot;00795E19&quot;/&gt;&lt;wsp:rsid wsp:val=&quot;00796CEE&quot;/&gt;&lt;wsp:rsid wsp:val=&quot;007974EE&quot;/&gt;&lt;wsp:rsid wsp:val=&quot;007976FC&quot;/&gt;&lt;wsp:rsid wsp:val=&quot;007A1375&quot;/&gt;&lt;wsp:rsid wsp:val=&quot;007A1BE5&quot;/&gt;&lt;wsp:rsid wsp:val=&quot;007A35DD&quot;/&gt;&lt;wsp:rsid wsp:val=&quot;007A3A85&quot;/&gt;&lt;wsp:rsid wsp:val=&quot;007A4152&quot;/&gt;&lt;wsp:rsid wsp:val=&quot;007A5045&quot;/&gt;&lt;wsp:rsid wsp:val=&quot;007A6717&quot;/&gt;&lt;wsp:rsid wsp:val=&quot;007A7706&quot;/&gt;&lt;wsp:rsid wsp:val=&quot;007B0AC2&quot;/&gt;&lt;wsp:rsid wsp:val=&quot;007B10A9&quot;/&gt;&lt;wsp:rsid wsp:val=&quot;007B3019&quot;/&gt;&lt;wsp:rsid wsp:val=&quot;007B35B8&quot;/&gt;&lt;wsp:rsid wsp:val=&quot;007B37EB&quot;/&gt;&lt;wsp:rsid wsp:val=&quot;007B3932&quot;/&gt;&lt;wsp:rsid wsp:val=&quot;007B3D4A&quot;/&gt;&lt;wsp:rsid wsp:val=&quot;007B3E44&quot;/&gt;&lt;wsp:rsid wsp:val=&quot;007B524D&quot;/&gt;&lt;wsp:rsid wsp:val=&quot;007B7465&quot;/&gt;&lt;wsp:rsid wsp:val=&quot;007C4FBD&quot;/&gt;&lt;wsp:rsid wsp:val=&quot;007C547E&quot;/&gt;&lt;wsp:rsid wsp:val=&quot;007D259D&quot;/&gt;&lt;wsp:rsid wsp:val=&quot;007D2DD1&quot;/&gt;&lt;wsp:rsid wsp:val=&quot;007D3D91&quot;/&gt;&lt;wsp:rsid wsp:val=&quot;007D44EC&quot;/&gt;&lt;wsp:rsid wsp:val=&quot;007D6223&quot;/&gt;&lt;wsp:rsid wsp:val=&quot;007E20A5&quot;/&gt;&lt;wsp:rsid wsp:val=&quot;007E2EEA&quot;/&gt;&lt;wsp:rsid wsp:val=&quot;007E4C4F&quot;/&gt;&lt;wsp:rsid wsp:val=&quot;007E5694&quot;/&gt;&lt;wsp:rsid wsp:val=&quot;007E6979&quot;/&gt;&lt;wsp:rsid wsp:val=&quot;007E7327&quot;/&gt;&lt;wsp:rsid wsp:val=&quot;007F0027&quot;/&gt;&lt;wsp:rsid wsp:val=&quot;007F0239&quot;/&gt;&lt;wsp:rsid wsp:val=&quot;007F0CD6&quot;/&gt;&lt;wsp:rsid wsp:val=&quot;007F0E4E&quot;/&gt;&lt;wsp:rsid wsp:val=&quot;007F1EA4&quot;/&gt;&lt;wsp:rsid wsp:val=&quot;007F29C1&quot;/&gt;&lt;wsp:rsid wsp:val=&quot;007F5333&quot;/&gt;&lt;wsp:rsid wsp:val=&quot;007F6278&quot;/&gt;&lt;wsp:rsid wsp:val=&quot;007F6406&quot;/&gt;&lt;wsp:rsid wsp:val=&quot;008007BE&quot;/&gt;&lt;wsp:rsid wsp:val=&quot;00800A95&quot;/&gt;&lt;wsp:rsid wsp:val=&quot;008012F8&quot;/&gt;&lt;wsp:rsid wsp:val=&quot;0080226C&quot;/&gt;&lt;wsp:rsid wsp:val=&quot;00802413&quot;/&gt;&lt;wsp:rsid wsp:val=&quot;0080338A&quot;/&gt;&lt;wsp:rsid wsp:val=&quot;00803C2A&quot;/&gt;&lt;wsp:rsid wsp:val=&quot;00803C74&quot;/&gt;&lt;wsp:rsid wsp:val=&quot;00803F95&quot;/&gt;&lt;wsp:rsid wsp:val=&quot;0080516B&quot;/&gt;&lt;wsp:rsid wsp:val=&quot;0080521D&quot;/&gt;&lt;wsp:rsid wsp:val=&quot;008059F8&quot;/&gt;&lt;wsp:rsid wsp:val=&quot;00806C82&quot;/&gt;&lt;wsp:rsid wsp:val=&quot;008070C1&quot;/&gt;&lt;wsp:rsid wsp:val=&quot;008071BF&quot;/&gt;&lt;wsp:rsid wsp:val=&quot;00810A57&quot;/&gt;&lt;wsp:rsid wsp:val=&quot;00811890&quot;/&gt;&lt;wsp:rsid wsp:val=&quot;00813B67&quot;/&gt;&lt;wsp:rsid wsp:val=&quot;00817E47&quot;/&gt;&lt;wsp:rsid wsp:val=&quot;00821521&quot;/&gt;&lt;wsp:rsid wsp:val=&quot;00821EAA&quot;/&gt;&lt;wsp:rsid wsp:val=&quot;0082252D&quot;/&gt;&lt;wsp:rsid wsp:val=&quot;00822B56&quot;/&gt;&lt;wsp:rsid wsp:val=&quot;00824534&quot;/&gt;&lt;wsp:rsid wsp:val=&quot;00825078&quot;/&gt;&lt;wsp:rsid wsp:val=&quot;0083293D&quot;/&gt;&lt;wsp:rsid wsp:val=&quot;008338F3&quot;/&gt;&lt;wsp:rsid wsp:val=&quot;00833E1E&quot;/&gt;&lt;wsp:rsid wsp:val=&quot;0083501F&quot;/&gt;&lt;wsp:rsid wsp:val=&quot;00835EA4&quot;/&gt;&lt;wsp:rsid wsp:val=&quot;0083632B&quot;/&gt;&lt;wsp:rsid wsp:val=&quot;00836631&quot;/&gt;&lt;wsp:rsid wsp:val=&quot;0084225B&quot;/&gt;&lt;wsp:rsid wsp:val=&quot;008429DA&quot;/&gt;&lt;wsp:rsid wsp:val=&quot;00842A1A&quot;/&gt;&lt;wsp:rsid wsp:val=&quot;008447BD&quot;/&gt;&lt;wsp:rsid wsp:val=&quot;00847060&quot;/&gt;&lt;wsp:rsid wsp:val=&quot;0084799F&quot;/&gt;&lt;wsp:rsid wsp:val=&quot;008516E6&quot;/&gt;&lt;wsp:rsid wsp:val=&quot;00851C34&quot;/&gt;&lt;wsp:rsid wsp:val=&quot;008533C3&quot;/&gt;&lt;wsp:rsid wsp:val=&quot;00853A55&quot;/&gt;&lt;wsp:rsid wsp:val=&quot;0085549E&quot;/&gt;&lt;wsp:rsid wsp:val=&quot;008560A0&quot;/&gt;&lt;wsp:rsid wsp:val=&quot;00857F22&quot;/&gt;&lt;wsp:rsid wsp:val=&quot;00860082&quot;/&gt;&lt;wsp:rsid wsp:val=&quot;00860B3C&quot;/&gt;&lt;wsp:rsid wsp:val=&quot;00862621&quot;/&gt;&lt;wsp:rsid wsp:val=&quot;00863EAA&quot;/&gt;&lt;wsp:rsid wsp:val=&quot;008653B7&quot;/&gt;&lt;wsp:rsid wsp:val=&quot;008657CE&quot;/&gt;&lt;wsp:rsid wsp:val=&quot;00865A71&quot;/&gt;&lt;wsp:rsid wsp:val=&quot;00870208&quot;/&gt;&lt;wsp:rsid wsp:val=&quot;00873DAE&quot;/&gt;&lt;wsp:rsid wsp:val=&quot;00874899&quot;/&gt;&lt;wsp:rsid wsp:val=&quot;008751F1&quot;/&gt;&lt;wsp:rsid wsp:val=&quot;008756D4&quot;/&gt;&lt;wsp:rsid wsp:val=&quot;00875E17&quot;/&gt;&lt;wsp:rsid wsp:val=&quot;008761EA&quot;/&gt;&lt;wsp:rsid wsp:val=&quot;00877014&quot;/&gt;&lt;wsp:rsid wsp:val=&quot;00877709&quot;/&gt;&lt;wsp:rsid wsp:val=&quot;008801FD&quot;/&gt;&lt;wsp:rsid wsp:val=&quot;00882C38&quot;/&gt;&lt;wsp:rsid wsp:val=&quot;008837FB&quot;/&gt;&lt;wsp:rsid wsp:val=&quot;00884070&quot;/&gt;&lt;wsp:rsid wsp:val=&quot;00886F7C&quot;/&gt;&lt;wsp:rsid wsp:val=&quot;008875E2&quot;/&gt;&lt;wsp:rsid wsp:val=&quot;008876FB&quot;/&gt;&lt;wsp:rsid wsp:val=&quot;00890740&quot;/&gt;&lt;wsp:rsid wsp:val=&quot;00891567&quot;/&gt;&lt;wsp:rsid wsp:val=&quot;008923BE&quot;/&gt;&lt;wsp:rsid wsp:val=&quot;008930D9&quot;/&gt;&lt;wsp:rsid wsp:val=&quot;00893EBB&quot;/&gt;&lt;wsp:rsid wsp:val=&quot;00896F76&quot;/&gt;&lt;wsp:rsid wsp:val=&quot;00897F80&quot;/&gt;&lt;wsp:rsid wsp:val=&quot;008A0CA5&quot;/&gt;&lt;wsp:rsid wsp:val=&quot;008A12FE&quot;/&gt;&lt;wsp:rsid wsp:val=&quot;008A1BEE&quot;/&gt;&lt;wsp:rsid wsp:val=&quot;008A4816&quot;/&gt;&lt;wsp:rsid wsp:val=&quot;008A4AE4&quot;/&gt;&lt;wsp:rsid wsp:val=&quot;008A688A&quot;/&gt;&lt;wsp:rsid wsp:val=&quot;008A7912&quot;/&gt;&lt;wsp:rsid wsp:val=&quot;008A7C79&quot;/&gt;&lt;wsp:rsid wsp:val=&quot;008A7EB5&quot;/&gt;&lt;wsp:rsid wsp:val=&quot;008B1993&quot;/&gt;&lt;wsp:rsid wsp:val=&quot;008B3149&quot;/&gt;&lt;wsp:rsid wsp:val=&quot;008B4D4E&quot;/&gt;&lt;wsp:rsid wsp:val=&quot;008B7EC3&quot;/&gt;&lt;wsp:rsid wsp:val=&quot;008C0E73&quot;/&gt;&lt;wsp:rsid wsp:val=&quot;008C2DD9&quot;/&gt;&lt;wsp:rsid wsp:val=&quot;008C37ED&quot;/&gt;&lt;wsp:rsid wsp:val=&quot;008C3886&quot;/&gt;&lt;wsp:rsid wsp:val=&quot;008C457C&quot;/&gt;&lt;wsp:rsid wsp:val=&quot;008C4F84&quot;/&gt;&lt;wsp:rsid wsp:val=&quot;008C4FEA&quot;/&gt;&lt;wsp:rsid wsp:val=&quot;008C5A8C&quot;/&gt;&lt;wsp:rsid wsp:val=&quot;008C6DC3&quot;/&gt;&lt;wsp:rsid wsp:val=&quot;008D0021&quot;/&gt;&lt;wsp:rsid wsp:val=&quot;008D1481&quot;/&gt;&lt;wsp:rsid wsp:val=&quot;008D2F4C&quot;/&gt;&lt;wsp:rsid wsp:val=&quot;008D3C12&quot;/&gt;&lt;wsp:rsid wsp:val=&quot;008D41AF&quot;/&gt;&lt;wsp:rsid wsp:val=&quot;008D5202&quot;/&gt;&lt;wsp:rsid wsp:val=&quot;008D5B5E&quot;/&gt;&lt;wsp:rsid wsp:val=&quot;008D5C4D&quot;/&gt;&lt;wsp:rsid wsp:val=&quot;008D66C2&quot;/&gt;&lt;wsp:rsid wsp:val=&quot;008E210C&quot;/&gt;&lt;wsp:rsid wsp:val=&quot;008E229D&quot;/&gt;&lt;wsp:rsid wsp:val=&quot;008E2F38&quot;/&gt;&lt;wsp:rsid wsp:val=&quot;008E3152&quot;/&gt;&lt;wsp:rsid wsp:val=&quot;008E3175&quot;/&gt;&lt;wsp:rsid wsp:val=&quot;008E4C1B&quot;/&gt;&lt;wsp:rsid wsp:val=&quot;008E635D&quot;/&gt;&lt;wsp:rsid wsp:val=&quot;008E73A7&quot;/&gt;&lt;wsp:rsid wsp:val=&quot;008E7EEE&quot;/&gt;&lt;wsp:rsid wsp:val=&quot;008F21D2&quot;/&gt;&lt;wsp:rsid wsp:val=&quot;008F29E4&quot;/&gt;&lt;wsp:rsid wsp:val=&quot;008F3A90&quot;/&gt;&lt;wsp:rsid wsp:val=&quot;008F4F7E&quot;/&gt;&lt;wsp:rsid wsp:val=&quot;008F5936&quot;/&gt;&lt;wsp:rsid wsp:val=&quot;008F6F37&quot;/&gt;&lt;wsp:rsid wsp:val=&quot;00900572&quot;/&gt;&lt;wsp:rsid wsp:val=&quot;00900BB3&quot;/&gt;&lt;wsp:rsid wsp:val=&quot;0090252F&quot;/&gt;&lt;wsp:rsid wsp:val=&quot;0090310A&quot;/&gt;&lt;wsp:rsid wsp:val=&quot;0090360C&quot;/&gt;&lt;wsp:rsid wsp:val=&quot;00903D17&quot;/&gt;&lt;wsp:rsid wsp:val=&quot;00905ACF&quot;/&gt;&lt;wsp:rsid wsp:val=&quot;00906296&quot;/&gt;&lt;wsp:rsid wsp:val=&quot;009109E9&quot;/&gt;&lt;wsp:rsid wsp:val=&quot;0091112E&quot;/&gt;&lt;wsp:rsid wsp:val=&quot;00911C9A&quot;/&gt;&lt;wsp:rsid wsp:val=&quot;00913F7C&quot;/&gt;&lt;wsp:rsid wsp:val=&quot;00914E58&quot;/&gt;&lt;wsp:rsid wsp:val=&quot;009165C7&quot;/&gt;&lt;wsp:rsid wsp:val=&quot;0091729E&quot;/&gt;&lt;wsp:rsid wsp:val=&quot;00921F95&quot;/&gt;&lt;wsp:rsid wsp:val=&quot;00922E7E&quot;/&gt;&lt;wsp:rsid wsp:val=&quot;00924E01&quot;/&gt;&lt;wsp:rsid wsp:val=&quot;00925D0D&quot;/&gt;&lt;wsp:rsid wsp:val=&quot;00927445&quot;/&gt;&lt;wsp:rsid wsp:val=&quot;00927722&quot;/&gt;&lt;wsp:rsid wsp:val=&quot;00931AC7&quot;/&gt;&lt;wsp:rsid wsp:val=&quot;00932324&quot;/&gt;&lt;wsp:rsid wsp:val=&quot;00932C3C&quot;/&gt;&lt;wsp:rsid wsp:val=&quot;00932E54&quot;/&gt;&lt;wsp:rsid wsp:val=&quot;00933256&quot;/&gt;&lt;wsp:rsid wsp:val=&quot;00940020&quot;/&gt;&lt;wsp:rsid wsp:val=&quot;00940200&quot;/&gt;&lt;wsp:rsid wsp:val=&quot;00942A0B&quot;/&gt;&lt;wsp:rsid wsp:val=&quot;00942A75&quot;/&gt;&lt;wsp:rsid wsp:val=&quot;00943753&quot;/&gt;&lt;wsp:rsid wsp:val=&quot;00945E7B&quot;/&gt;&lt;wsp:rsid wsp:val=&quot;00950346&quot;/&gt;&lt;wsp:rsid wsp:val=&quot;00952A98&quot;/&gt;&lt;wsp:rsid wsp:val=&quot;009559B1&quot;/&gt;&lt;wsp:rsid wsp:val=&quot;00955FAF&quot;/&gt;&lt;wsp:rsid wsp:val=&quot;00957239&quot;/&gt;&lt;wsp:rsid wsp:val=&quot;009574BD&quot;/&gt;&lt;wsp:rsid wsp:val=&quot;00957D21&quot;/&gt;&lt;wsp:rsid wsp:val=&quot;00960F69&quot;/&gt;&lt;wsp:rsid wsp:val=&quot;0096276A&quot;/&gt;&lt;wsp:rsid wsp:val=&quot;00966AF5&quot;/&gt;&lt;wsp:rsid wsp:val=&quot;00967159&quot;/&gt;&lt;wsp:rsid wsp:val=&quot;00967B6C&quot;/&gt;&lt;wsp:rsid wsp:val=&quot;00971E48&quot;/&gt;&lt;wsp:rsid wsp:val=&quot;00972502&quot;/&gt;&lt;wsp:rsid wsp:val=&quot;00972681&quot;/&gt;&lt;wsp:rsid wsp:val=&quot;00972C4B&quot;/&gt;&lt;wsp:rsid wsp:val=&quot;00975DE1&quot;/&gt;&lt;wsp:rsid wsp:val=&quot;00976117&quot;/&gt;&lt;wsp:rsid wsp:val=&quot;00981CA2&quot;/&gt;&lt;wsp:rsid wsp:val=&quot;00983486&quot;/&gt;&lt;wsp:rsid wsp:val=&quot;009841B0&quot;/&gt;&lt;wsp:rsid wsp:val=&quot;0098421B&quot;/&gt;&lt;wsp:rsid wsp:val=&quot;00984AB9&quot;/&gt;&lt;wsp:rsid wsp:val=&quot;00985839&quot;/&gt;&lt;wsp:rsid wsp:val=&quot;009861EF&quot;/&gt;&lt;wsp:rsid wsp:val=&quot;00986D01&quot;/&gt;&lt;wsp:rsid wsp:val=&quot;00987507&quot;/&gt;&lt;wsp:rsid wsp:val=&quot;00990A4A&quot;/&gt;&lt;wsp:rsid wsp:val=&quot;0099147F&quot;/&gt;&lt;wsp:rsid wsp:val=&quot;00991962&quot;/&gt;&lt;wsp:rsid wsp:val=&quot;00992860&quot;/&gt;&lt;wsp:rsid wsp:val=&quot;009928A2&quot;/&gt;&lt;wsp:rsid wsp:val=&quot;00994050&quot;/&gt;&lt;wsp:rsid wsp:val=&quot;009952BA&quot;/&gt;&lt;wsp:rsid wsp:val=&quot;0099538C&quot;/&gt;&lt;wsp:rsid wsp:val=&quot;0099563F&quot;/&gt;&lt;wsp:rsid wsp:val=&quot;009963D6&quot;/&gt;&lt;wsp:rsid wsp:val=&quot;00997475&quot;/&gt;&lt;wsp:rsid wsp:val=&quot;009A070E&quot;/&gt;&lt;wsp:rsid wsp:val=&quot;009A0A37&quot;/&gt;&lt;wsp:rsid wsp:val=&quot;009A197D&quot;/&gt;&lt;wsp:rsid wsp:val=&quot;009A40AC&quot;/&gt;&lt;wsp:rsid wsp:val=&quot;009A41D1&quot;/&gt;&lt;wsp:rsid wsp:val=&quot;009A452F&quot;/&gt;&lt;wsp:rsid wsp:val=&quot;009A4FD6&quot;/&gt;&lt;wsp:rsid wsp:val=&quot;009A5B52&quot;/&gt;&lt;wsp:rsid wsp:val=&quot;009A68EC&quot;/&gt;&lt;wsp:rsid wsp:val=&quot;009A7C68&quot;/&gt;&lt;wsp:rsid wsp:val=&quot;009B0DC2&quot;/&gt;&lt;wsp:rsid wsp:val=&quot;009B253A&quot;/&gt;&lt;wsp:rsid wsp:val=&quot;009B5913&quot;/&gt;&lt;wsp:rsid wsp:val=&quot;009B7601&quot;/&gt;&lt;wsp:rsid wsp:val=&quot;009B7DE8&quot;/&gt;&lt;wsp:rsid wsp:val=&quot;009C0E44&quot;/&gt;&lt;wsp:rsid wsp:val=&quot;009C2D8B&quot;/&gt;&lt;wsp:rsid wsp:val=&quot;009C701B&quot;/&gt;&lt;wsp:rsid wsp:val=&quot;009C771E&quot;/&gt;&lt;wsp:rsid wsp:val=&quot;009D174D&quot;/&gt;&lt;wsp:rsid wsp:val=&quot;009D24BC&quot;/&gt;&lt;wsp:rsid wsp:val=&quot;009D3046&quot;/&gt;&lt;wsp:rsid wsp:val=&quot;009D3692&quot;/&gt;&lt;wsp:rsid wsp:val=&quot;009D3A1C&quot;/&gt;&lt;wsp:rsid wsp:val=&quot;009D4A22&quot;/&gt;&lt;wsp:rsid wsp:val=&quot;009D66FC&quot;/&gt;&lt;wsp:rsid wsp:val=&quot;009D6F1C&quot;/&gt;&lt;wsp:rsid wsp:val=&quot;009E001A&quot;/&gt;&lt;wsp:rsid wsp:val=&quot;009E0F7D&quot;/&gt;&lt;wsp:rsid wsp:val=&quot;009E3A03&quot;/&gt;&lt;wsp:rsid wsp:val=&quot;009E6630&quot;/&gt;&lt;wsp:rsid wsp:val=&quot;009E6E64&quot;/&gt;&lt;wsp:rsid wsp:val=&quot;009F06F1&quot;/&gt;&lt;wsp:rsid wsp:val=&quot;009F08C7&quot;/&gt;&lt;wsp:rsid wsp:val=&quot;009F1773&quot;/&gt;&lt;wsp:rsid wsp:val=&quot;009F3801&quot;/&gt;&lt;wsp:rsid wsp:val=&quot;009F4017&quot;/&gt;&lt;wsp:rsid wsp:val=&quot;00A00788&quot;/&gt;&lt;wsp:rsid wsp:val=&quot;00A00FA7&quot;/&gt;&lt;wsp:rsid wsp:val=&quot;00A011E5&quot;/&gt;&lt;wsp:rsid wsp:val=&quot;00A02098&quot;/&gt;&lt;wsp:rsid wsp:val=&quot;00A03AD5&quot;/&gt;&lt;wsp:rsid wsp:val=&quot;00A03BF0&quot;/&gt;&lt;wsp:rsid wsp:val=&quot;00A03FA7&quot;/&gt;&lt;wsp:rsid wsp:val=&quot;00A04E43&quot;/&gt;&lt;wsp:rsid wsp:val=&quot;00A04F9E&quot;/&gt;&lt;wsp:rsid wsp:val=&quot;00A06496&quot;/&gt;&lt;wsp:rsid wsp:val=&quot;00A076F9&quot;/&gt;&lt;wsp:rsid wsp:val=&quot;00A07FB8&quot;/&gt;&lt;wsp:rsid wsp:val=&quot;00A103E5&quot;/&gt;&lt;wsp:rsid wsp:val=&quot;00A1065F&quot;/&gt;&lt;wsp:rsid wsp:val=&quot;00A122C9&quot;/&gt;&lt;wsp:rsid wsp:val=&quot;00A12BBC&quot;/&gt;&lt;wsp:rsid wsp:val=&quot;00A16810&quot;/&gt;&lt;wsp:rsid wsp:val=&quot;00A179B7&quot;/&gt;&lt;wsp:rsid wsp:val=&quot;00A22C9F&quot;/&gt;&lt;wsp:rsid wsp:val=&quot;00A24353&quot;/&gt;&lt;wsp:rsid wsp:val=&quot;00A245C8&quot;/&gt;&lt;wsp:rsid wsp:val=&quot;00A245EA&quot;/&gt;&lt;wsp:rsid wsp:val=&quot;00A25439&quot;/&gt;&lt;wsp:rsid wsp:val=&quot;00A26AFA&quot;/&gt;&lt;wsp:rsid wsp:val=&quot;00A27884&quot;/&gt;&lt;wsp:rsid wsp:val=&quot;00A27E63&quot;/&gt;&lt;wsp:rsid wsp:val=&quot;00A322A6&quot;/&gt;&lt;wsp:rsid wsp:val=&quot;00A322CF&quot;/&gt;&lt;wsp:rsid wsp:val=&quot;00A36349&quot;/&gt;&lt;wsp:rsid wsp:val=&quot;00A431CA&quot;/&gt;&lt;wsp:rsid wsp:val=&quot;00A45DA3&quot;/&gt;&lt;wsp:rsid wsp:val=&quot;00A472A5&quot;/&gt;&lt;wsp:rsid wsp:val=&quot;00A47BE9&quot;/&gt;&lt;wsp:rsid wsp:val=&quot;00A47D77&quot;/&gt;&lt;wsp:rsid wsp:val=&quot;00A5081B&quot;/&gt;&lt;wsp:rsid wsp:val=&quot;00A50A62&quot;/&gt;&lt;wsp:rsid wsp:val=&quot;00A50ECE&quot;/&gt;&lt;wsp:rsid wsp:val=&quot;00A522CC&quot;/&gt;&lt;wsp:rsid wsp:val=&quot;00A52804&quot;/&gt;&lt;wsp:rsid wsp:val=&quot;00A52A32&quot;/&gt;&lt;wsp:rsid wsp:val=&quot;00A53B12&quot;/&gt;&lt;wsp:rsid wsp:val=&quot;00A558CC&quot;/&gt;&lt;wsp:rsid wsp:val=&quot;00A558F3&quot;/&gt;&lt;wsp:rsid wsp:val=&quot;00A563DD&quot;/&gt;&lt;wsp:rsid wsp:val=&quot;00A5686E&quot;/&gt;&lt;wsp:rsid wsp:val=&quot;00A57607&quot;/&gt;&lt;wsp:rsid wsp:val=&quot;00A6041C&quot;/&gt;&lt;wsp:rsid wsp:val=&quot;00A60EED&quot;/&gt;&lt;wsp:rsid wsp:val=&quot;00A61465&quot;/&gt;&lt;wsp:rsid wsp:val=&quot;00A61E34&quot;/&gt;&lt;wsp:rsid wsp:val=&quot;00A62405&quot;/&gt;&lt;wsp:rsid wsp:val=&quot;00A661D0&quot;/&gt;&lt;wsp:rsid wsp:val=&quot;00A674DA&quot;/&gt;&lt;wsp:rsid wsp:val=&quot;00A738FC&quot;/&gt;&lt;wsp:rsid wsp:val=&quot;00A805E9&quot;/&gt;&lt;wsp:rsid wsp:val=&quot;00A82CC5&quot;/&gt;&lt;wsp:rsid wsp:val=&quot;00A83438&quot;/&gt;&lt;wsp:rsid wsp:val=&quot;00A8383C&quot;/&gt;&lt;wsp:rsid wsp:val=&quot;00A83884&quot;/&gt;&lt;wsp:rsid wsp:val=&quot;00A85144&quot;/&gt;&lt;wsp:rsid wsp:val=&quot;00A85E9E&quot;/&gt;&lt;wsp:rsid wsp:val=&quot;00A924EB&quot;/&gt;&lt;wsp:rsid wsp:val=&quot;00A96AA1&quot;/&gt;&lt;wsp:rsid wsp:val=&quot;00AA0A4C&quot;/&gt;&lt;wsp:rsid wsp:val=&quot;00AA12D2&quot;/&gt;&lt;wsp:rsid wsp:val=&quot;00AA1E70&quot;/&gt;&lt;wsp:rsid wsp:val=&quot;00AA248F&quot;/&gt;&lt;wsp:rsid wsp:val=&quot;00AA33E4&quot;/&gt;&lt;wsp:rsid wsp:val=&quot;00AA3ABF&quot;/&gt;&lt;wsp:rsid wsp:val=&quot;00AA494B&quot;/&gt;&lt;wsp:rsid wsp:val=&quot;00AA51DF&quot;/&gt;&lt;wsp:rsid wsp:val=&quot;00AA582F&quot;/&gt;&lt;wsp:rsid wsp:val=&quot;00AB1AB0&quot;/&gt;&lt;wsp:rsid wsp:val=&quot;00AB1EDA&quot;/&gt;&lt;wsp:rsid wsp:val=&quot;00AB2292&quot;/&gt;&lt;wsp:rsid wsp:val=&quot;00AB2C81&quot;/&gt;&lt;wsp:rsid wsp:val=&quot;00AB4227&quot;/&gt;&lt;wsp:rsid wsp:val=&quot;00AB5D01&quot;/&gt;&lt;wsp:rsid wsp:val=&quot;00AC0034&quot;/&gt;&lt;wsp:rsid wsp:val=&quot;00AC2328&quot;/&gt;&lt;wsp:rsid wsp:val=&quot;00AC2F0D&quot;/&gt;&lt;wsp:rsid wsp:val=&quot;00AC3106&quot;/&gt;&lt;wsp:rsid wsp:val=&quot;00AC3EE4&quot;/&gt;&lt;wsp:rsid wsp:val=&quot;00AC5EC1&quot;/&gt;&lt;wsp:rsid wsp:val=&quot;00AC5F6E&quot;/&gt;&lt;wsp:rsid wsp:val=&quot;00AC6943&quot;/&gt;&lt;wsp:rsid wsp:val=&quot;00AC73FE&quot;/&gt;&lt;wsp:rsid wsp:val=&quot;00AC76DA&quot;/&gt;&lt;wsp:rsid wsp:val=&quot;00AD2A7E&quot;/&gt;&lt;wsp:rsid wsp:val=&quot;00AD37AA&quot;/&gt;&lt;wsp:rsid wsp:val=&quot;00AD622F&quot;/&gt;&lt;wsp:rsid wsp:val=&quot;00AE0282&quot;/&gt;&lt;wsp:rsid wsp:val=&quot;00AE1C0F&quot;/&gt;&lt;wsp:rsid wsp:val=&quot;00AE205D&quot;/&gt;&lt;wsp:rsid wsp:val=&quot;00AE3BA8&quot;/&gt;&lt;wsp:rsid wsp:val=&quot;00AE4266&quot;/&gt;&lt;wsp:rsid wsp:val=&quot;00AE5080&quot;/&gt;&lt;wsp:rsid wsp:val=&quot;00AE5E0A&quot;/&gt;&lt;wsp:rsid wsp:val=&quot;00AE691B&quot;/&gt;&lt;wsp:rsid wsp:val=&quot;00AE7836&quot;/&gt;&lt;wsp:rsid wsp:val=&quot;00AF0F15&quot;/&gt;&lt;wsp:rsid wsp:val=&quot;00AF11C8&quot;/&gt;&lt;wsp:rsid wsp:val=&quot;00B02489&quot;/&gt;&lt;wsp:rsid wsp:val=&quot;00B02A42&quot;/&gt;&lt;wsp:rsid wsp:val=&quot;00B03F40&quot;/&gt;&lt;wsp:rsid wsp:val=&quot;00B05734&quot;/&gt;&lt;wsp:rsid wsp:val=&quot;00B06A13&quot;/&gt;&lt;wsp:rsid wsp:val=&quot;00B124EF&quot;/&gt;&lt;wsp:rsid wsp:val=&quot;00B12BDA&quot;/&gt;&lt;wsp:rsid wsp:val=&quot;00B12D21&quot;/&gt;&lt;wsp:rsid wsp:val=&quot;00B12DD2&quot;/&gt;&lt;wsp:rsid wsp:val=&quot;00B14137&quot;/&gt;&lt;wsp:rsid wsp:val=&quot;00B14592&quot;/&gt;&lt;wsp:rsid wsp:val=&quot;00B14EB2&quot;/&gt;&lt;wsp:rsid wsp:val=&quot;00B16F97&quot;/&gt;&lt;wsp:rsid wsp:val=&quot;00B17014&quot;/&gt;&lt;wsp:rsid wsp:val=&quot;00B20740&quot;/&gt;&lt;wsp:rsid wsp:val=&quot;00B214BD&quot;/&gt;&lt;wsp:rsid wsp:val=&quot;00B24C93&quot;/&gt;&lt;wsp:rsid wsp:val=&quot;00B26018&quot;/&gt;&lt;wsp:rsid wsp:val=&quot;00B27250&quot;/&gt;&lt;wsp:rsid wsp:val=&quot;00B31C57&quot;/&gt;&lt;wsp:rsid wsp:val=&quot;00B358E7&quot;/&gt;&lt;wsp:rsid wsp:val=&quot;00B36C1D&quot;/&gt;&lt;wsp:rsid wsp:val=&quot;00B401D1&quot;/&gt;&lt;wsp:rsid wsp:val=&quot;00B4222A&quot;/&gt;&lt;wsp:rsid wsp:val=&quot;00B50E31&quot;/&gt;&lt;wsp:rsid wsp:val=&quot;00B531DF&quot;/&gt;&lt;wsp:rsid wsp:val=&quot;00B5458C&quot;/&gt;&lt;wsp:rsid wsp:val=&quot;00B555A1&quot;/&gt;&lt;wsp:rsid wsp:val=&quot;00B63BF7&quot;/&gt;&lt;wsp:rsid wsp:val=&quot;00B64E59&quot;/&gt;&lt;wsp:rsid wsp:val=&quot;00B66E71&quot;/&gt;&lt;wsp:rsid wsp:val=&quot;00B677A6&quot;/&gt;&lt;wsp:rsid wsp:val=&quot;00B7078B&quot;/&gt;&lt;wsp:rsid wsp:val=&quot;00B711D1&quot;/&gt;&lt;wsp:rsid wsp:val=&quot;00B71C21&quot;/&gt;&lt;wsp:rsid wsp:val=&quot;00B7296A&quot;/&gt;&lt;wsp:rsid wsp:val=&quot;00B739F9&quot;/&gt;&lt;wsp:rsid wsp:val=&quot;00B779E1&quot;/&gt;&lt;wsp:rsid wsp:val=&quot;00B8004F&quot;/&gt;&lt;wsp:rsid wsp:val=&quot;00B80AEC&quot;/&gt;&lt;wsp:rsid wsp:val=&quot;00B80D1A&quot;/&gt;&lt;wsp:rsid wsp:val=&quot;00B835FC&quot;/&gt;&lt;wsp:rsid wsp:val=&quot;00B839CB&quot;/&gt;&lt;wsp:rsid wsp:val=&quot;00B86C81&quot;/&gt;&lt;wsp:rsid wsp:val=&quot;00B870B7&quot;/&gt;&lt;wsp:rsid wsp:val=&quot;00B9029B&quot;/&gt;&lt;wsp:rsid wsp:val=&quot;00B9144F&quot;/&gt;&lt;wsp:rsid wsp:val=&quot;00B91B67&quot;/&gt;&lt;wsp:rsid wsp:val=&quot;00B91F79&quot;/&gt;&lt;wsp:rsid wsp:val=&quot;00B94A88&quot;/&gt;&lt;wsp:rsid wsp:val=&quot;00B95EC2&quot;/&gt;&lt;wsp:rsid wsp:val=&quot;00B974D7&quot;/&gt;&lt;wsp:rsid wsp:val=&quot;00B97ACD&quot;/&gt;&lt;wsp:rsid wsp:val=&quot;00BA0EE5&quot;/&gt;&lt;wsp:rsid wsp:val=&quot;00BA1179&quot;/&gt;&lt;wsp:rsid wsp:val=&quot;00BA2F7C&quot;/&gt;&lt;wsp:rsid wsp:val=&quot;00BA30E6&quot;/&gt;&lt;wsp:rsid wsp:val=&quot;00BA3905&quot;/&gt;&lt;wsp:rsid wsp:val=&quot;00BA50BD&quot;/&gt;&lt;wsp:rsid wsp:val=&quot;00BA6958&quot;/&gt;&lt;wsp:rsid wsp:val=&quot;00BA6D71&quot;/&gt;&lt;wsp:rsid wsp:val=&quot;00BA6F39&quot;/&gt;&lt;wsp:rsid wsp:val=&quot;00BB3960&quot;/&gt;&lt;wsp:rsid wsp:val=&quot;00BB4722&quot;/&gt;&lt;wsp:rsid wsp:val=&quot;00BB5EB6&quot;/&gt;&lt;wsp:rsid wsp:val=&quot;00BB6C23&quot;/&gt;&lt;wsp:rsid wsp:val=&quot;00BB77FC&quot;/&gt;&lt;wsp:rsid wsp:val=&quot;00BB7DFD&quot;/&gt;&lt;wsp:rsid wsp:val=&quot;00BC009C&quot;/&gt;&lt;wsp:rsid wsp:val=&quot;00BC0361&quot;/&gt;&lt;wsp:rsid wsp:val=&quot;00BC126C&quot;/&gt;&lt;wsp:rsid wsp:val=&quot;00BC1C0B&quot;/&gt;&lt;wsp:rsid wsp:val=&quot;00BC2A3E&quot;/&gt;&lt;wsp:rsid wsp:val=&quot;00BC3BFF&quot;/&gt;&lt;wsp:rsid wsp:val=&quot;00BC3F0E&quot;/&gt;&lt;wsp:rsid wsp:val=&quot;00BC4B14&quot;/&gt;&lt;wsp:rsid wsp:val=&quot;00BC6106&quot;/&gt;&lt;wsp:rsid wsp:val=&quot;00BC6927&quot;/&gt;&lt;wsp:rsid wsp:val=&quot;00BC6E93&quot;/&gt;&lt;wsp:rsid wsp:val=&quot;00BC7272&quot;/&gt;&lt;wsp:rsid wsp:val=&quot;00BC7453&quot;/&gt;&lt;wsp:rsid wsp:val=&quot;00BD0D8C&quot;/&gt;&lt;wsp:rsid wsp:val=&quot;00BD2928&quot;/&gt;&lt;wsp:rsid wsp:val=&quot;00BD4193&quot;/&gt;&lt;wsp:rsid wsp:val=&quot;00BD6077&quot;/&gt;&lt;wsp:rsid wsp:val=&quot;00BD712D&quot;/&gt;&lt;wsp:rsid wsp:val=&quot;00BE0214&quot;/&gt;&lt;wsp:rsid wsp:val=&quot;00BE2752&quot;/&gt;&lt;wsp:rsid wsp:val=&quot;00BE3053&quot;/&gt;&lt;wsp:rsid wsp:val=&quot;00BE3191&quot;/&gt;&lt;wsp:rsid wsp:val=&quot;00BE43CD&quot;/&gt;&lt;wsp:rsid wsp:val=&quot;00BE4617&quot;/&gt;&lt;wsp:rsid wsp:val=&quot;00BE53EB&quot;/&gt;&lt;wsp:rsid wsp:val=&quot;00BE68CF&quot;/&gt;&lt;wsp:rsid wsp:val=&quot;00BE6F3F&quot;/&gt;&lt;wsp:rsid wsp:val=&quot;00BF00E8&quot;/&gt;&lt;wsp:rsid wsp:val=&quot;00BF057C&quot;/&gt;&lt;wsp:rsid wsp:val=&quot;00BF0F85&quot;/&gt;&lt;wsp:rsid wsp:val=&quot;00BF1CDD&quot;/&gt;&lt;wsp:rsid wsp:val=&quot;00BF306C&quot;/&gt;&lt;wsp:rsid wsp:val=&quot;00BF4735&quot;/&gt;&lt;wsp:rsid wsp:val=&quot;00BF4C75&quot;/&gt;&lt;wsp:rsid wsp:val=&quot;00BF6358&quot;/&gt;&lt;wsp:rsid wsp:val=&quot;00BF65E7&quot;/&gt;&lt;wsp:rsid wsp:val=&quot;00BF7A45&quot;/&gt;&lt;wsp:rsid wsp:val=&quot;00BF7CF0&quot;/&gt;&lt;wsp:rsid wsp:val=&quot;00BF7E91&quot;/&gt;&lt;wsp:rsid wsp:val=&quot;00C01B97&quot;/&gt;&lt;wsp:rsid wsp:val=&quot;00C02527&quot;/&gt;&lt;wsp:rsid wsp:val=&quot;00C02720&quot;/&gt;&lt;wsp:rsid wsp:val=&quot;00C02FE3&quot;/&gt;&lt;wsp:rsid wsp:val=&quot;00C04339&quot;/&gt;&lt;wsp:rsid wsp:val=&quot;00C06EF1&quot;/&gt;&lt;wsp:rsid wsp:val=&quot;00C078DD&quot;/&gt;&lt;wsp:rsid wsp:val=&quot;00C119B1&quot;/&gt;&lt;wsp:rsid wsp:val=&quot;00C12449&quot;/&gt;&lt;wsp:rsid wsp:val=&quot;00C137CD&quot;/&gt;&lt;wsp:rsid wsp:val=&quot;00C16568&quot;/&gt;&lt;wsp:rsid wsp:val=&quot;00C170FD&quot;/&gt;&lt;wsp:rsid wsp:val=&quot;00C1732E&quot;/&gt;&lt;wsp:rsid wsp:val=&quot;00C20464&quot;/&gt;&lt;wsp:rsid wsp:val=&quot;00C2052A&quot;/&gt;&lt;wsp:rsid wsp:val=&quot;00C228E2&quot;/&gt;&lt;wsp:rsid wsp:val=&quot;00C22B1E&quot;/&gt;&lt;wsp:rsid wsp:val=&quot;00C24061&quot;/&gt;&lt;wsp:rsid wsp:val=&quot;00C25A82&quot;/&gt;&lt;wsp:rsid wsp:val=&quot;00C263B0&quot;/&gt;&lt;wsp:rsid wsp:val=&quot;00C26788&quot;/&gt;&lt;wsp:rsid wsp:val=&quot;00C27D56&quot;/&gt;&lt;wsp:rsid wsp:val=&quot;00C312EE&quot;/&gt;&lt;wsp:rsid wsp:val=&quot;00C3375D&quot;/&gt;&lt;wsp:rsid wsp:val=&quot;00C3418B&quot;/&gt;&lt;wsp:rsid wsp:val=&quot;00C3681D&quot;/&gt;&lt;wsp:rsid wsp:val=&quot;00C37DDD&quot;/&gt;&lt;wsp:rsid wsp:val=&quot;00C41F9A&quot;/&gt;&lt;wsp:rsid wsp:val=&quot;00C42889&quot;/&gt;&lt;wsp:rsid wsp:val=&quot;00C433AF&quot;/&gt;&lt;wsp:rsid wsp:val=&quot;00C43F7E&quot;/&gt;&lt;wsp:rsid wsp:val=&quot;00C44118&quot;/&gt;&lt;wsp:rsid wsp:val=&quot;00C46137&quot;/&gt;&lt;wsp:rsid wsp:val=&quot;00C46E3C&quot;/&gt;&lt;wsp:rsid wsp:val=&quot;00C46EF2&quot;/&gt;&lt;wsp:rsid wsp:val=&quot;00C47C4B&quot;/&gt;&lt;wsp:rsid wsp:val=&quot;00C51754&quot;/&gt;&lt;wsp:rsid wsp:val=&quot;00C51BFD&quot;/&gt;&lt;wsp:rsid wsp:val=&quot;00C51E71&quot;/&gt;&lt;wsp:rsid wsp:val=&quot;00C530A1&quot;/&gt;&lt;wsp:rsid wsp:val=&quot;00C53CDF&quot;/&gt;&lt;wsp:rsid wsp:val=&quot;00C54A46&quot;/&gt;&lt;wsp:rsid wsp:val=&quot;00C56A6A&quot;/&gt;&lt;wsp:rsid wsp:val=&quot;00C574E8&quot;/&gt;&lt;wsp:rsid wsp:val=&quot;00C600A4&quot;/&gt;&lt;wsp:rsid wsp:val=&quot;00C60807&quot;/&gt;&lt;wsp:rsid wsp:val=&quot;00C6106D&quot;/&gt;&lt;wsp:rsid wsp:val=&quot;00C61F3A&quot;/&gt;&lt;wsp:rsid wsp:val=&quot;00C659C7&quot;/&gt;&lt;wsp:rsid wsp:val=&quot;00C7154F&quot;/&gt;&lt;wsp:rsid wsp:val=&quot;00C726D1&quot;/&gt;&lt;wsp:rsid wsp:val=&quot;00C73A1F&quot;/&gt;&lt;wsp:rsid wsp:val=&quot;00C747B4&quot;/&gt;&lt;wsp:rsid wsp:val=&quot;00C74C57&quot;/&gt;&lt;wsp:rsid wsp:val=&quot;00C7767D&quot;/&gt;&lt;wsp:rsid wsp:val=&quot;00C80A15&quot;/&gt;&lt;wsp:rsid wsp:val=&quot;00C83B48&quot;/&gt;&lt;wsp:rsid wsp:val=&quot;00C84F63&quot;/&gt;&lt;wsp:rsid wsp:val=&quot;00C90092&quot;/&gt;&lt;wsp:rsid wsp:val=&quot;00C928E6&quot;/&gt;&lt;wsp:rsid wsp:val=&quot;00C938A4&quot;/&gt;&lt;wsp:rsid wsp:val=&quot;00C93AC0&quot;/&gt;&lt;wsp:rsid wsp:val=&quot;00C94D13&quot;/&gt;&lt;wsp:rsid wsp:val=&quot;00C951FB&quot;/&gt;&lt;wsp:rsid wsp:val=&quot;00C95B16&quot;/&gt;&lt;wsp:rsid wsp:val=&quot;00C96376&quot;/&gt;&lt;wsp:rsid wsp:val=&quot;00C97516&quot;/&gt;&lt;wsp:rsid wsp:val=&quot;00C97D81&quot;/&gt;&lt;wsp:rsid wsp:val=&quot;00C97D98&quot;/&gt;&lt;wsp:rsid wsp:val=&quot;00CA2D1B&quot;/&gt;&lt;wsp:rsid wsp:val=&quot;00CA52CF&quot;/&gt;&lt;wsp:rsid wsp:val=&quot;00CA5CFE&quot;/&gt;&lt;wsp:rsid wsp:val=&quot;00CA7728&quot;/&gt;&lt;wsp:rsid wsp:val=&quot;00CB03F6&quot;/&gt;&lt;wsp:rsid wsp:val=&quot;00CB091B&quot;/&gt;&lt;wsp:rsid wsp:val=&quot;00CB0F44&quot;/&gt;&lt;wsp:rsid wsp:val=&quot;00CB1DD4&quot;/&gt;&lt;wsp:rsid wsp:val=&quot;00CB773C&quot;/&gt;&lt;wsp:rsid wsp:val=&quot;00CB792A&quot;/&gt;&lt;wsp:rsid wsp:val=&quot;00CC1D88&quot;/&gt;&lt;wsp:rsid wsp:val=&quot;00CC26F3&quot;/&gt;&lt;wsp:rsid wsp:val=&quot;00CC3922&quot;/&gt;&lt;wsp:rsid wsp:val=&quot;00CC3C6D&quot;/&gt;&lt;wsp:rsid wsp:val=&quot;00CC3FD7&quot;/&gt;&lt;wsp:rsid wsp:val=&quot;00CC4247&quot;/&gt;&lt;wsp:rsid wsp:val=&quot;00CC47D5&quot;/&gt;&lt;wsp:rsid wsp:val=&quot;00CC4EB7&quot;/&gt;&lt;wsp:rsid wsp:val=&quot;00CC5A7A&quot;/&gt;&lt;wsp:rsid wsp:val=&quot;00CC6667&quot;/&gt;&lt;wsp:rsid wsp:val=&quot;00CC74A3&quot;/&gt;&lt;wsp:rsid wsp:val=&quot;00CC7B15&quot;/&gt;&lt;wsp:rsid wsp:val=&quot;00CC7D21&quot;/&gt;&lt;wsp:rsid wsp:val=&quot;00CD33AD&quot;/&gt;&lt;wsp:rsid wsp:val=&quot;00CD3AB8&quot;/&gt;&lt;wsp:rsid wsp:val=&quot;00CD60E1&quot;/&gt;&lt;wsp:rsid wsp:val=&quot;00CD73AE&quot;/&gt;&lt;wsp:rsid wsp:val=&quot;00CE1944&quot;/&gt;&lt;wsp:rsid wsp:val=&quot;00CE1F5E&quot;/&gt;&lt;wsp:rsid wsp:val=&quot;00CE4C46&quot;/&gt;&lt;wsp:rsid wsp:val=&quot;00CE4CA6&quot;/&gt;&lt;wsp:rsid wsp:val=&quot;00CE50FC&quot;/&gt;&lt;wsp:rsid wsp:val=&quot;00CE61D2&quot;/&gt;&lt;wsp:rsid wsp:val=&quot;00CF077A&quot;/&gt;&lt;wsp:rsid wsp:val=&quot;00CF0E79&quot;/&gt;&lt;wsp:rsid wsp:val=&quot;00CF1C70&quot;/&gt;&lt;wsp:rsid wsp:val=&quot;00CF22D2&quot;/&gt;&lt;wsp:rsid wsp:val=&quot;00CF2E96&quot;/&gt;&lt;wsp:rsid wsp:val=&quot;00CF6046&quot;/&gt;&lt;wsp:rsid wsp:val=&quot;00CF617A&quot;/&gt;&lt;wsp:rsid wsp:val=&quot;00CF6190&quot;/&gt;&lt;wsp:rsid wsp:val=&quot;00CF6FC4&quot;/&gt;&lt;wsp:rsid wsp:val=&quot;00CF71D9&quot;/&gt;&lt;wsp:rsid wsp:val=&quot;00D0140F&quot;/&gt;&lt;wsp:rsid wsp:val=&quot;00D02521&quot;/&gt;&lt;wsp:rsid wsp:val=&quot;00D05995&quot;/&gt;&lt;wsp:rsid wsp:val=&quot;00D07904&quot;/&gt;&lt;wsp:rsid wsp:val=&quot;00D106BE&quot;/&gt;&lt;wsp:rsid wsp:val=&quot;00D1232D&quot;/&gt;&lt;wsp:rsid wsp:val=&quot;00D12A38&quot;/&gt;&lt;wsp:rsid wsp:val=&quot;00D130D5&quot;/&gt;&lt;wsp:rsid wsp:val=&quot;00D13AB1&quot;/&gt;&lt;wsp:rsid wsp:val=&quot;00D156E9&quot;/&gt;&lt;wsp:rsid wsp:val=&quot;00D15A64&quot;/&gt;&lt;wsp:rsid wsp:val=&quot;00D15F9A&quot;/&gt;&lt;wsp:rsid wsp:val=&quot;00D172A2&quot;/&gt;&lt;wsp:rsid wsp:val=&quot;00D1765C&quot;/&gt;&lt;wsp:rsid wsp:val=&quot;00D206D5&quot;/&gt;&lt;wsp:rsid wsp:val=&quot;00D21D36&quot;/&gt;&lt;wsp:rsid wsp:val=&quot;00D220BD&quot;/&gt;&lt;wsp:rsid wsp:val=&quot;00D23314&quot;/&gt;&lt;wsp:rsid wsp:val=&quot;00D23321&quot;/&gt;&lt;wsp:rsid wsp:val=&quot;00D23EA5&quot;/&gt;&lt;wsp:rsid wsp:val=&quot;00D2408F&quot;/&gt;&lt;wsp:rsid wsp:val=&quot;00D30348&quot;/&gt;&lt;wsp:rsid wsp:val=&quot;00D30E7C&quot;/&gt;&lt;wsp:rsid wsp:val=&quot;00D32EDC&quot;/&gt;&lt;wsp:rsid wsp:val=&quot;00D34225&quot;/&gt;&lt;wsp:rsid wsp:val=&quot;00D34C43&quot;/&gt;&lt;wsp:rsid wsp:val=&quot;00D36A70&quot;/&gt;&lt;wsp:rsid wsp:val=&quot;00D378FD&quot;/&gt;&lt;wsp:rsid wsp:val=&quot;00D37AE4&quot;/&gt;&lt;wsp:rsid wsp:val=&quot;00D401FD&quot;/&gt;&lt;wsp:rsid wsp:val=&quot;00D40A82&quot;/&gt;&lt;wsp:rsid wsp:val=&quot;00D41DC3&quot;/&gt;&lt;wsp:rsid wsp:val=&quot;00D42538&quot;/&gt;&lt;wsp:rsid wsp:val=&quot;00D42EA1&quot;/&gt;&lt;wsp:rsid wsp:val=&quot;00D5100A&quot;/&gt;&lt;wsp:rsid wsp:val=&quot;00D5215E&quot;/&gt;&lt;wsp:rsid wsp:val=&quot;00D5306C&quot;/&gt;&lt;wsp:rsid wsp:val=&quot;00D530AC&quot;/&gt;&lt;wsp:rsid wsp:val=&quot;00D542B4&quot;/&gt;&lt;wsp:rsid wsp:val=&quot;00D5449B&quot;/&gt;&lt;wsp:rsid wsp:val=&quot;00D54817&quot;/&gt;&lt;wsp:rsid wsp:val=&quot;00D54F6C&quot;/&gt;&lt;wsp:rsid wsp:val=&quot;00D55D4F&quot;/&gt;&lt;wsp:rsid wsp:val=&quot;00D55E29&quot;/&gt;&lt;wsp:rsid wsp:val=&quot;00D565C2&quot;/&gt;&lt;wsp:rsid wsp:val=&quot;00D56A4B&quot;/&gt;&lt;wsp:rsid wsp:val=&quot;00D57CEF&quot;/&gt;&lt;wsp:rsid wsp:val=&quot;00D61676&quot;/&gt;&lt;wsp:rsid wsp:val=&quot;00D62128&quot;/&gt;&lt;wsp:rsid wsp:val=&quot;00D631D6&quot;/&gt;&lt;wsp:rsid wsp:val=&quot;00D63871&quot;/&gt;&lt;wsp:rsid wsp:val=&quot;00D646F7&quot;/&gt;&lt;wsp:rsid wsp:val=&quot;00D64A00&quot;/&gt;&lt;wsp:rsid wsp:val=&quot;00D65FD0&quot;/&gt;&lt;wsp:rsid wsp:val=&quot;00D67640&quot;/&gt;&lt;wsp:rsid wsp:val=&quot;00D716CC&quot;/&gt;&lt;wsp:rsid wsp:val=&quot;00D762A3&quot;/&gt;&lt;wsp:rsid wsp:val=&quot;00D81C9D&quot;/&gt;&lt;wsp:rsid wsp:val=&quot;00D81E8E&quot;/&gt;&lt;wsp:rsid wsp:val=&quot;00D82943&quot;/&gt;&lt;wsp:rsid wsp:val=&quot;00D83A0D&quot;/&gt;&lt;wsp:rsid wsp:val=&quot;00D8455A&quot;/&gt;&lt;wsp:rsid wsp:val=&quot;00D86320&quot;/&gt;&lt;wsp:rsid wsp:val=&quot;00D8684E&quot;/&gt;&lt;wsp:rsid wsp:val=&quot;00D87AA6&quot;/&gt;&lt;wsp:rsid wsp:val=&quot;00D92C17&quot;/&gt;&lt;wsp:rsid wsp:val=&quot;00D965CE&quot;/&gt;&lt;wsp:rsid wsp:val=&quot;00DA10EE&quot;/&gt;&lt;wsp:rsid wsp:val=&quot;00DA1677&quot;/&gt;&lt;wsp:rsid wsp:val=&quot;00DA51B1&quot;/&gt;&lt;wsp:rsid wsp:val=&quot;00DA5FDB&quot;/&gt;&lt;wsp:rsid wsp:val=&quot;00DA6840&quot;/&gt;&lt;wsp:rsid wsp:val=&quot;00DA7109&quot;/&gt;&lt;wsp:rsid wsp:val=&quot;00DA7D47&quot;/&gt;&lt;wsp:rsid wsp:val=&quot;00DB2D94&quot;/&gt;&lt;wsp:rsid wsp:val=&quot;00DB5C54&quot;/&gt;&lt;wsp:rsid wsp:val=&quot;00DB6DBF&quot;/&gt;&lt;wsp:rsid wsp:val=&quot;00DB6F4C&quot;/&gt;&lt;wsp:rsid wsp:val=&quot;00DC1FAD&quot;/&gt;&lt;wsp:rsid wsp:val=&quot;00DC45DE&quot;/&gt;&lt;wsp:rsid wsp:val=&quot;00DC4A16&quot;/&gt;&lt;wsp:rsid wsp:val=&quot;00DC6255&quot;/&gt;&lt;wsp:rsid wsp:val=&quot;00DD00CE&quot;/&gt;&lt;wsp:rsid wsp:val=&quot;00DD1C03&quot;/&gt;&lt;wsp:rsid wsp:val=&quot;00DD2CA7&quot;/&gt;&lt;wsp:rsid wsp:val=&quot;00DD4123&quot;/&gt;&lt;wsp:rsid wsp:val=&quot;00DD7684&quot;/&gt;&lt;wsp:rsid wsp:val=&quot;00DE09FC&quot;/&gt;&lt;wsp:rsid wsp:val=&quot;00DE22A0&quot;/&gt;&lt;wsp:rsid wsp:val=&quot;00DE2C92&quot;/&gt;&lt;wsp:rsid wsp:val=&quot;00DE3A7A&quot;/&gt;&lt;wsp:rsid wsp:val=&quot;00DE44BF&quot;/&gt;&lt;wsp:rsid wsp:val=&quot;00DE5718&quot;/&gt;&lt;wsp:rsid wsp:val=&quot;00DE762B&quot;/&gt;&lt;wsp:rsid wsp:val=&quot;00DE7AF9&quot;/&gt;&lt;wsp:rsid wsp:val=&quot;00DF0BCC&quot;/&gt;&lt;wsp:rsid wsp:val=&quot;00DF266B&quot;/&gt;&lt;wsp:rsid wsp:val=&quot;00DF36C1&quot;/&gt;&lt;wsp:rsid wsp:val=&quot;00DF3A56&quot;/&gt;&lt;wsp:rsid wsp:val=&quot;00DF4E8C&quot;/&gt;&lt;wsp:rsid wsp:val=&quot;00DF579D&quot;/&gt;&lt;wsp:rsid wsp:val=&quot;00DF59F1&quot;/&gt;&lt;wsp:rsid wsp:val=&quot;00DF6E59&quot;/&gt;&lt;wsp:rsid wsp:val=&quot;00E01C90&quot;/&gt;&lt;wsp:rsid wsp:val=&quot;00E02993&quot;/&gt;&lt;wsp:rsid wsp:val=&quot;00E02A4C&quot;/&gt;&lt;wsp:rsid wsp:val=&quot;00E03D7E&quot;/&gt;&lt;wsp:rsid wsp:val=&quot;00E05D56&quot;/&gt;&lt;wsp:rsid wsp:val=&quot;00E07274&quot;/&gt;&lt;wsp:rsid wsp:val=&quot;00E10129&quot;/&gt;&lt;wsp:rsid wsp:val=&quot;00E117F6&quot;/&gt;&lt;wsp:rsid wsp:val=&quot;00E13114&quot;/&gt;&lt;wsp:rsid wsp:val=&quot;00E132C8&quot;/&gt;&lt;wsp:rsid wsp:val=&quot;00E138EA&quot;/&gt;&lt;wsp:rsid wsp:val=&quot;00E1394E&quot;/&gt;&lt;wsp:rsid wsp:val=&quot;00E14785&quot;/&gt;&lt;wsp:rsid wsp:val=&quot;00E15B93&quot;/&gt;&lt;wsp:rsid wsp:val=&quot;00E16EEF&quot;/&gt;&lt;wsp:rsid wsp:val=&quot;00E17266&quot;/&gt;&lt;wsp:rsid wsp:val=&quot;00E17C0B&quot;/&gt;&lt;wsp:rsid wsp:val=&quot;00E209B8&quot;/&gt;&lt;wsp:rsid wsp:val=&quot;00E212D1&quot;/&gt;&lt;wsp:rsid wsp:val=&quot;00E21767&quot;/&gt;&lt;wsp:rsid wsp:val=&quot;00E219CA&quot;/&gt;&lt;wsp:rsid wsp:val=&quot;00E21A40&quot;/&gt;&lt;wsp:rsid wsp:val=&quot;00E23314&quot;/&gt;&lt;wsp:rsid wsp:val=&quot;00E24004&quot;/&gt;&lt;wsp:rsid wsp:val=&quot;00E25FD7&quot;/&gt;&lt;wsp:rsid wsp:val=&quot;00E31A80&quot;/&gt;&lt;wsp:rsid wsp:val=&quot;00E325B5&quot;/&gt;&lt;wsp:rsid wsp:val=&quot;00E32764&quot;/&gt;&lt;wsp:rsid wsp:val=&quot;00E33371&quot;/&gt;&lt;wsp:rsid wsp:val=&quot;00E344BB&quot;/&gt;&lt;wsp:rsid wsp:val=&quot;00E42571&quot;/&gt;&lt;wsp:rsid wsp:val=&quot;00E429F9&quot;/&gt;&lt;wsp:rsid wsp:val=&quot;00E43331&quot;/&gt;&lt;wsp:rsid wsp:val=&quot;00E43436&quot;/&gt;&lt;wsp:rsid wsp:val=&quot;00E445A8&quot;/&gt;&lt;wsp:rsid wsp:val=&quot;00E45111&quot;/&gt;&lt;wsp:rsid wsp:val=&quot;00E4597D&quot;/&gt;&lt;wsp:rsid wsp:val=&quot;00E46647&quot;/&gt;&lt;wsp:rsid wsp:val=&quot;00E47369&quot;/&gt;&lt;wsp:rsid wsp:val=&quot;00E47373&quot;/&gt;&lt;wsp:rsid wsp:val=&quot;00E55080&quot;/&gt;&lt;wsp:rsid wsp:val=&quot;00E55DDA&quot;/&gt;&lt;wsp:rsid wsp:val=&quot;00E56538&quot;/&gt;&lt;wsp:rsid wsp:val=&quot;00E56CA1&quot;/&gt;&lt;wsp:rsid wsp:val=&quot;00E576CC&quot;/&gt;&lt;wsp:rsid wsp:val=&quot;00E60539&quot;/&gt;&lt;wsp:rsid wsp:val=&quot;00E60788&quot;/&gt;&lt;wsp:rsid wsp:val=&quot;00E607E4&quot;/&gt;&lt;wsp:rsid wsp:val=&quot;00E63339&quot;/&gt;&lt;wsp:rsid wsp:val=&quot;00E63430&quot;/&gt;&lt;wsp:rsid wsp:val=&quot;00E63770&quot;/&gt;&lt;wsp:rsid wsp:val=&quot;00E63789&quot;/&gt;&lt;wsp:rsid wsp:val=&quot;00E63F2F&quot;/&gt;&lt;wsp:rsid wsp:val=&quot;00E66C10&quot;/&gt;&lt;wsp:rsid wsp:val=&quot;00E66C36&quot;/&gt;&lt;wsp:rsid wsp:val=&quot;00E67019&quot;/&gt;&lt;wsp:rsid wsp:val=&quot;00E72BA8&quot;/&gt;&lt;wsp:rsid wsp:val=&quot;00E7426F&quot;/&gt;&lt;wsp:rsid wsp:val=&quot;00E74363&quot;/&gt;&lt;wsp:rsid wsp:val=&quot;00E761CB&quot;/&gt;&lt;wsp:rsid wsp:val=&quot;00E762B0&quot;/&gt;&lt;wsp:rsid wsp:val=&quot;00E77C4A&quot;/&gt;&lt;wsp:rsid wsp:val=&quot;00E81CB4&quot;/&gt;&lt;wsp:rsid wsp:val=&quot;00E8287D&quot;/&gt;&lt;wsp:rsid wsp:val=&quot;00E84CAD&quot;/&gt;&lt;wsp:rsid wsp:val=&quot;00E85789&quot;/&gt;&lt;wsp:rsid wsp:val=&quot;00E85976&quot;/&gt;&lt;wsp:rsid wsp:val=&quot;00E86730&quot;/&gt;&lt;wsp:rsid wsp:val=&quot;00E87783&quot;/&gt;&lt;wsp:rsid wsp:val=&quot;00E923D4&quot;/&gt;&lt;wsp:rsid wsp:val=&quot;00E92DD1&quot;/&gt;&lt;wsp:rsid wsp:val=&quot;00E94786&quot;/&gt;&lt;wsp:rsid wsp:val=&quot;00E94BE9&quot;/&gt;&lt;wsp:rsid wsp:val=&quot;00E959FB&quot;/&gt;&lt;wsp:rsid wsp:val=&quot;00E95F7F&quot;/&gt;&lt;wsp:rsid wsp:val=&quot;00EA04B9&quot;/&gt;&lt;wsp:rsid wsp:val=&quot;00EA096C&quot;/&gt;&lt;wsp:rsid wsp:val=&quot;00EA0B4B&quot;/&gt;&lt;wsp:rsid wsp:val=&quot;00EA12C8&quot;/&gt;&lt;wsp:rsid wsp:val=&quot;00EA1B56&quot;/&gt;&lt;wsp:rsid wsp:val=&quot;00EA3348&quot;/&gt;&lt;wsp:rsid wsp:val=&quot;00EA3C12&quot;/&gt;&lt;wsp:rsid wsp:val=&quot;00EA425A&quot;/&gt;&lt;wsp:rsid wsp:val=&quot;00EA42CB&quot;/&gt;&lt;wsp:rsid wsp:val=&quot;00EA7405&quot;/&gt;&lt;wsp:rsid wsp:val=&quot;00EA763C&quot;/&gt;&lt;wsp:rsid wsp:val=&quot;00EA7EC2&quot;/&gt;&lt;wsp:rsid wsp:val=&quot;00EB1A51&quot;/&gt;&lt;wsp:rsid wsp:val=&quot;00EB2B00&quot;/&gt;&lt;wsp:rsid wsp:val=&quot;00EB2B73&quot;/&gt;&lt;wsp:rsid wsp:val=&quot;00EB3779&quot;/&gt;&lt;wsp:rsid wsp:val=&quot;00EC00B1&quot;/&gt;&lt;wsp:rsid wsp:val=&quot;00EC0FD1&quot;/&gt;&lt;wsp:rsid wsp:val=&quot;00EC11E3&quot;/&gt;&lt;wsp:rsid wsp:val=&quot;00EC1698&quot;/&gt;&lt;wsp:rsid wsp:val=&quot;00EC1A1E&quot;/&gt;&lt;wsp:rsid wsp:val=&quot;00EC41D9&quot;/&gt;&lt;wsp:rsid wsp:val=&quot;00EC77B2&quot;/&gt;&lt;wsp:rsid wsp:val=&quot;00ED1D3F&quot;/&gt;&lt;wsp:rsid wsp:val=&quot;00ED3137&quot;/&gt;&lt;wsp:rsid wsp:val=&quot;00ED3FE9&quot;/&gt;&lt;wsp:rsid wsp:val=&quot;00EE1331&quot;/&gt;&lt;wsp:rsid wsp:val=&quot;00EE1D3F&quot;/&gt;&lt;wsp:rsid wsp:val=&quot;00EE277F&quot;/&gt;&lt;wsp:rsid wsp:val=&quot;00EE2CC0&quot;/&gt;&lt;wsp:rsid wsp:val=&quot;00EE3CF5&quot;/&gt;&lt;wsp:rsid wsp:val=&quot;00EE5880&quot;/&gt;&lt;wsp:rsid wsp:val=&quot;00EE6560&quot;/&gt;&lt;wsp:rsid wsp:val=&quot;00EE72A4&quot;/&gt;&lt;wsp:rsid wsp:val=&quot;00EE7559&quot;/&gt;&lt;wsp:rsid wsp:val=&quot;00EF1395&quot;/&gt;&lt;wsp:rsid wsp:val=&quot;00EF146C&quot;/&gt;&lt;wsp:rsid wsp:val=&quot;00EF1639&quot;/&gt;&lt;wsp:rsid wsp:val=&quot;00EF393F&quot;/&gt;&lt;wsp:rsid wsp:val=&quot;00EF4448&quot;/&gt;&lt;wsp:rsid wsp:val=&quot;00EF5B6C&quot;/&gt;&lt;wsp:rsid wsp:val=&quot;00EF6B95&quot;/&gt;&lt;wsp:rsid wsp:val=&quot;00F0030C&quot;/&gt;&lt;wsp:rsid wsp:val=&quot;00F0212E&quot;/&gt;&lt;wsp:rsid wsp:val=&quot;00F02911&quot;/&gt;&lt;wsp:rsid wsp:val=&quot;00F02D12&quot;/&gt;&lt;wsp:rsid wsp:val=&quot;00F046D9&quot;/&gt;&lt;wsp:rsid wsp:val=&quot;00F05A5A&quot;/&gt;&lt;wsp:rsid wsp:val=&quot;00F07241&quot;/&gt;&lt;wsp:rsid wsp:val=&quot;00F07312&quot;/&gt;&lt;wsp:rsid wsp:val=&quot;00F10331&quot;/&gt;&lt;wsp:rsid wsp:val=&quot;00F12CC8&quot;/&gt;&lt;wsp:rsid wsp:val=&quot;00F13AF3&quot;/&gt;&lt;wsp:rsid wsp:val=&quot;00F151E7&quot;/&gt;&lt;wsp:rsid wsp:val=&quot;00F15297&quot;/&gt;&lt;wsp:rsid wsp:val=&quot;00F17105&quot;/&gt;&lt;wsp:rsid wsp:val=&quot;00F171CC&quot;/&gt;&lt;wsp:rsid wsp:val=&quot;00F21B21&quot;/&gt;&lt;wsp:rsid wsp:val=&quot;00F21FFD&quot;/&gt;&lt;wsp:rsid wsp:val=&quot;00F23048&quot;/&gt;&lt;wsp:rsid wsp:val=&quot;00F253A4&quot;/&gt;&lt;wsp:rsid wsp:val=&quot;00F25A74&quot;/&gt;&lt;wsp:rsid wsp:val=&quot;00F266C2&quot;/&gt;&lt;wsp:rsid wsp:val=&quot;00F26A2A&quot;/&gt;&lt;wsp:rsid wsp:val=&quot;00F270F8&quot;/&gt;&lt;wsp:rsid wsp:val=&quot;00F27B67&quot;/&gt;&lt;wsp:rsid wsp:val=&quot;00F30383&quot;/&gt;&lt;wsp:rsid wsp:val=&quot;00F30D93&quot;/&gt;&lt;wsp:rsid wsp:val=&quot;00F315F4&quot;/&gt;&lt;wsp:rsid wsp:val=&quot;00F33A9F&quot;/&gt;&lt;wsp:rsid wsp:val=&quot;00F35E90&quot;/&gt;&lt;wsp:rsid wsp:val=&quot;00F36FDD&quot;/&gt;&lt;wsp:rsid wsp:val=&quot;00F42591&quot;/&gt;&lt;wsp:rsid wsp:val=&quot;00F42ABF&quot;/&gt;&lt;wsp:rsid wsp:val=&quot;00F4315F&quot;/&gt;&lt;wsp:rsid wsp:val=&quot;00F45DC8&quot;/&gt;&lt;wsp:rsid wsp:val=&quot;00F476C1&quot;/&gt;&lt;wsp:rsid wsp:val=&quot;00F50443&quot;/&gt;&lt;wsp:rsid wsp:val=&quot;00F51E27&quot;/&gt;&lt;wsp:rsid wsp:val=&quot;00F52844&quot;/&gt;&lt;wsp:rsid wsp:val=&quot;00F53FED&quot;/&gt;&lt;wsp:rsid wsp:val=&quot;00F55E12&quot;/&gt;&lt;wsp:rsid wsp:val=&quot;00F57F81&quot;/&gt;&lt;wsp:rsid wsp:val=&quot;00F57F90&quot;/&gt;&lt;wsp:rsid wsp:val=&quot;00F6022A&quot;/&gt;&lt;wsp:rsid wsp:val=&quot;00F6147B&quot;/&gt;&lt;wsp:rsid wsp:val=&quot;00F61593&quot;/&gt;&lt;wsp:rsid wsp:val=&quot;00F61B1C&quot;/&gt;&lt;wsp:rsid wsp:val=&quot;00F61D60&quot;/&gt;&lt;wsp:rsid wsp:val=&quot;00F62B7C&quot;/&gt;&lt;wsp:rsid wsp:val=&quot;00F653F8&quot;/&gt;&lt;wsp:rsid wsp:val=&quot;00F66809&quot;/&gt;&lt;wsp:rsid wsp:val=&quot;00F758BF&quot;/&gt;&lt;wsp:rsid wsp:val=&quot;00F76D64&quot;/&gt;&lt;wsp:rsid wsp:val=&quot;00F8012D&quot;/&gt;&lt;wsp:rsid wsp:val=&quot;00F85FB7&quot;/&gt;&lt;wsp:rsid wsp:val=&quot;00F877B2&quot;/&gt;&lt;wsp:rsid wsp:val=&quot;00F87AEF&quot;/&gt;&lt;wsp:rsid wsp:val=&quot;00F87F54&quot;/&gt;&lt;wsp:rsid wsp:val=&quot;00F91AB2&quot;/&gt;&lt;wsp:rsid wsp:val=&quot;00F926CC&quot;/&gt;&lt;wsp:rsid wsp:val=&quot;00F92FDD&quot;/&gt;&lt;wsp:rsid wsp:val=&quot;00F97B3A&quot;/&gt;&lt;wsp:rsid wsp:val=&quot;00FA33B3&quot;/&gt;&lt;wsp:rsid wsp:val=&quot;00FA5EF0&quot;/&gt;&lt;wsp:rsid wsp:val=&quot;00FA6AA7&quot;/&gt;&lt;wsp:rsid wsp:val=&quot;00FA7FC0&quot;/&gt;&lt;wsp:rsid wsp:val=&quot;00FB0023&quot;/&gt;&lt;wsp:rsid wsp:val=&quot;00FB050E&quot;/&gt;&lt;wsp:rsid wsp:val=&quot;00FB103F&quot;/&gt;&lt;wsp:rsid wsp:val=&quot;00FB1932&quot;/&gt;&lt;wsp:rsid wsp:val=&quot;00FB22C8&quot;/&gt;&lt;wsp:rsid wsp:val=&quot;00FB362D&quot;/&gt;&lt;wsp:rsid wsp:val=&quot;00FB4AE3&quot;/&gt;&lt;wsp:rsid wsp:val=&quot;00FB6BB1&quot;/&gt;&lt;wsp:rsid wsp:val=&quot;00FB7E4F&quot;/&gt;&lt;wsp:rsid wsp:val=&quot;00FC1127&quot;/&gt;&lt;wsp:rsid wsp:val=&quot;00FC15BE&quot;/&gt;&lt;wsp:rsid wsp:val=&quot;00FC1C55&quot;/&gt;&lt;wsp:rsid wsp:val=&quot;00FC2716&quot;/&gt;&lt;wsp:rsid wsp:val=&quot;00FC3876&quot;/&gt;&lt;wsp:rsid wsp:val=&quot;00FC4391&quot;/&gt;&lt;wsp:rsid wsp:val=&quot;00FC566D&quot;/&gt;&lt;wsp:rsid wsp:val=&quot;00FC5BAB&quot;/&gt;&lt;wsp:rsid wsp:val=&quot;00FC5D4F&quot;/&gt;&lt;wsp:rsid wsp:val=&quot;00FC5FA5&quot;/&gt;&lt;wsp:rsid wsp:val=&quot;00FD04A8&quot;/&gt;&lt;wsp:rsid wsp:val=&quot;00FD41C1&quot;/&gt;&lt;wsp:rsid wsp:val=&quot;00FD4FBB&quot;/&gt;&lt;wsp:rsid wsp:val=&quot;00FD541F&quot;/&gt;&lt;wsp:rsid wsp:val=&quot;00FD5A2A&quot;/&gt;&lt;wsp:rsid wsp:val=&quot;00FD6BAA&quot;/&gt;&lt;wsp:rsid wsp:val=&quot;00FD6F29&quot;/&gt;&lt;wsp:rsid wsp:val=&quot;00FE4F49&quot;/&gt;&lt;wsp:rsid wsp:val=&quot;00FE53F6&quot;/&gt;&lt;wsp:rsid wsp:val=&quot;00FE6034&quot;/&gt;&lt;wsp:rsid wsp:val=&quot;00FE73FF&quot;/&gt;&lt;wsp:rsid wsp:val=&quot;00FF1A90&quot;/&gt;&lt;wsp:rsid wsp:val=&quot;00FF2D44&quot;/&gt;&lt;wsp:rsid wsp:val=&quot;00FF34E7&quot;/&gt;&lt;wsp:rsid wsp:val=&quot;00FF3B65&quot;/&gt;&lt;wsp:rsid wsp:val=&quot;00FF4A77&quot;/&gt;&lt;wsp:rsid wsp:val=&quot;00FF705C&quot;/&gt;&lt;wsp:rsid wsp:val=&quot;00FF7505&quot;/&gt;&lt;wsp:rsid wsp:val=&quot;10E34571&quot;/&gt;&lt;wsp:rsid wsp:val=&quot;10FA2D5F&quot;/&gt;&lt;wsp:rsid wsp:val=&quot;68523A51&quot;/&gt;&lt;/wsp:rsids&gt;&lt;/w:docPr&gt;&lt;w:body&gt;&lt;wx:sect&gt;&lt;w:p wsp:rsidR=&quot;00000000&quot; wsp:rsidRDefault=&quot;00AE5E0A&quot; wsp:rsidP=&quot;00AE5E0A&quot;&gt;&lt;m:oMathPara&gt;&lt;m:oMath&gt;&lt;m:r&gt;&lt;w:rPr&gt;&lt;w:rFonts w:ascii=&quot;Cambria Math&quot; w:h-ansi=&quot;Cambria Math&quot;/&gt;&lt;wx:font wx:val=&quot;Cambria Math&quot;/&gt;&lt;w:i/&gt;&lt;w:noProof/&gt;&lt;w:sz w:val=&quot;24&quot;/&gt;&lt;w:sz-cs w:val=&quot;24&quot;/&gt;&lt;/w:rPr&gt;&lt;m:t&gt;a??/m:t&gt;&lt;/m:r&gt;&lt;m:r&gt;&lt;w:rPr&gt;&lt;w:rFonts w:ascii=&quot;CambP==================ria Math&quot; w:h-ansi=&quot;Cambria Math&quot; w:hint=&quot;fareast&quot;/&gt;&lt;wx:font wx:val=&quot;Cambria Math&quot;/&gt;&lt;w:i/&gt;&lt;w:noProof/&gt;&lt;w:sz w:val=&quot;24&quot;/&gt;&lt;w:sz-cs w:val=&quot;24&quot;/&gt;&lt;/w:rPr&gt;&lt;m:t&gt;W=&lt;/m:t&gt;&lt;/m:r&gt;&lt;m:d&gt;&lt;m:dPr&gt;&lt;m:begChr m:val=&quot;|&quot;/&gt;&lt;m:endChr m:val=&quot;|&quot;/&gt;&lt;m:ctrlPr&gt;&lt;w:rPr&gt;&lt;w:rFonts w:ascii=&quot;Cambria Math&quot; w:h-ansi=&quot;Cambria Math&quot;/&gt;&lt;wx:font wx:val=&quot;Cambria Math&quot;/&gt;&lt;w:i/&gt;&lt;w:noProof/&gt;&lt;w:sz w:val=&quot;24&quot;/&gt;&lt;w:sz-cs w:val=&quot;24&quot;/&gt;&lt;/w:rPr&gt;&lt;/m:ctrlPr&gt;&lt;/m:dPr&gt;&lt;m:e&gt;&lt;m:r&gt;&lt;w:rPr&gt;&lt;w:rFonts w:ascii=&quot;Cambria Math&quot; w:h-ansi=&quot;Cambria Math&quot; w:hint=&quot;fareast&quot;/&gt;&lt;wx:font wx:val=&quot;Cambria Math&quot;/&gt;&lt;w:i/&gt;&lt;w:noProof/&gt;&lt;w:sz w:val=&quot;24&quot;/&gt;&lt;w:sz-cs w:val=&quot;24&quot;/&gt;&lt;/w:rPr&gt;&lt;m:t&gt;W&lt;/m:t&gt;&lt;/m:r&gt;&lt;m:r&gt;&lt;w:rPr&gt;&lt;w:rFonts w:ascii=&quot;Cambria Math&quot; w:fareast=&quot;???è?ˉé?…é?‘&quot; w:h-ansi=&quot;Cambria Math&quot; w:cs=&quot;???è?ˉé?…é?‘&quot;/&gt;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 Math&quot; w:hin&lt;wx:font wx:vMath&quot; w:hintaath&quot; w:hint=lth&quot; w:hint=&quot;=h&quot; w:hint=&quot;f&quot;&quot; w:hint=&quot;faC w:hint=&quot;faraw:hint=&quot;farem:hint=&quot;fareabhint=&quot;fareasrint=&quot;fareastint=&quot;fareast&quot;at=&quot;fareast&quot;/ =&quot;fareast&quot;/&gt;M&quot;fareast&quot;/&gt;&lt;afareast&quot;/&gt;&lt;wtareast&quot;/&gt;&lt;wxhreast&quot;/&gt;&lt;wx:&quot;east&quot;/&gt;&lt;wx:f/&gt;&lt;w:i/&gt;&lt;w:noProof/&gt;&lt;w:sz w:val=&quot;24&quot;/&gt;&lt;w:sz-cs w:val=&quot;24&quot;/&gt;&lt;/w:rPr&gt;&lt;m:t&gt;-&lt;/m:t&gt;&lt;/m:r&gt;&lt;m:d&gt;&lt;m:dPr&gt;&lt;m:endChr m:val=&quot;&quot;/&gt;&lt;m:ctrlPr&gt;&lt;w:rPr&gt;&lt;w:rFonts w:ascii=&quot;Cambria Math&quot; w:fareast=&quot;???èr?ˉé?…?/&gt;M&quot;far&quot;?‘ast&quot;/&gt;&quot; &lt;afart&quot;/&gt;&lt;aw:h-an&lt;wtarsi=&quot;Cst&quot;/&gt;&lt;w&lt;wxhrt&quot;/&gt;&lt;ambria &lt;wx:&quot;t&quot;:noPr/&gt;&lt;wMath&quot; &lt;w:sz wx:ft&quot;/&gt;&lt;wt&quot;/4&quot;/&gt;&lt;&gt;&lt;w&gt;&lt;w:nw:cs w:va=&quot;???è?/&gt;&lt;w/&gt;&lt;/w::sst&quot;/&gt;&lt;wˉ?m:t&gt;-&lt;/asal=&quot;24&quot;t&quot;//m:r&gt;&lt;m&gt;&lt;wx&gt;&lt;w:isz-:dPr&gt;&lt;mcs w/&gt;&lt;?…édChr m:va??/&gt;l=&quot;24&quot;/&gt;&quot;/&gt;&lt;m:ctr&lt;&lt;wx:freast&quot;&gt;&lt;w:rPr&gt;&lt;/rPr&gt;&lt;m:t&gt;&gt;&lt;Fonts w:awx:ont wx:m:i=&quot;Cambrit&gt;&lt;/m:rvasz ath&quot; w:faw:vnoPral=&quot;:d&gt;&lt;m:t=&quot;????sz w╮dPr2l=&quot;Ceast&quot;/&gt;4&quot;/&gt;&lt;:M&quot;farendChr m&lt;w/ w:va&gt;&lt;w:szafar-csl=&quot;&quot;/&lt;/w:&gt;&lt;m: x:fawtarmbria -&lt;/MlPr&gt;&lt;w:rPawxhrtval&gt;&lt;m=&quot;24&quot;/&gt;w:rFonwx:&quot;ts&gt;&lt;m &lt;h&quot;/&gt;&lt;w:i/&gt;&lt;scwx:fiia=&quot;Camw::rPr&gt;&lt;m:&lt;w:nt&gt;ra Math&quot; w-noProow:sf/&lt;&gt;&lt;wreast=&quot;??:sm:t4&quot;&gt;&lt;a/m:r&gt;&lt;z …?/&gt;MPr&quot;w:s wvrial=&quot;24&quot;/d&gt;&lt;m w:dP/&gt;&lt;ar&lt;fa&gt;&lt;m&gt;&lt;w:sz-c&lt;s w:vn/&gt;&lt;w&gt;rdChr m:valaal=&quot;24&quot;//&gt;&lt;rrw&gt;&lt;/w:&quot;/&gt;:&lt;m:ctrlPrP/r&gt;r&lt;wr&gt;&lt;/m:/ctrlP&lt;w:rPrr&gt;&lt;m&gt;&lt;ww:rrm&gt;&lt;/m:dPr&gt;&lt;mr:nt:s &gt;&lt;w:masciie&gt;&lt;m:s&quot;Sub&gt;P&lt;m:Caambria MatsSfubPr&gt; &lt;m:crtr w:fareasnt=lPr&gt;m&lt;w:&lt;rPr&gt;&lt;w:rFonstst&quot;/&gt;sw wa:ascii=&quot;Cam&quot;bria t&quot;/?&gt;&lt;Math&quot; w:fareast=&quot;??t&quot;/&gt;&lt;w?è?ˉéar&lt;?…é?‘&quot;d/&gt;m:vala&lt;w&gt;rP/&gt;&lt;a w:/m:rn/&gt;&lt;w&gt;&gt;w:&quot;/&gt;:&lt;h-&quot;//&gt;&lt;ransi=ast&quot;/&gt;vn/&gt;&lt;/m:/&gt;&lt;w&lt;&quot;//&gt;lPrP/r&lt;rwx&quot;Cambww:rrmriadPr&gt;&lt;m Matw:rPrrh&quot;Pr &gt;&lt;w:mP/&gt;r//&gt;&lt;w&quot; w:cs=&quot;?Pr&gt;&lt;m&lt;m:Caar??èt&quot;/&gt;:rPr&gt;&lt;m&lt;wxhrPr&gt; &lt;m:cre&gt;&lt;m:sw wa:as&quot;P/&gt;&lt;w m:val:?ˉrPr&gt;m&lt;t&quot;/?&gt;&lt;Maw:&lt;&gt;&lt;m:nta MatsSf:é?…=&quot;??t&quot;/&gt;&lt;wé?tst&quot;/&gt;sw wa‘&quot;/P&lt;w:rPr&gt;&lt;trm:vala w:farea&quot;bria t&quot;/?&gt;&lt;sn&gt;ie&gt;&lt;m:w:&quot;/&gt;:sSub&gt;P&lt;w&gt;&lt;wx:feast=&quot;??t&quot;/&gt;orP&gt;&lt;/m:/r&gt;&lt;w:rFonsnt wx::&quot;/&gt;&lt;m: Ma/&gt;&lt;ww:rrmw&gt;rtsSubP:ascii=&quot;Cam&quot;r&gt; ctPr&gt; &gt;&lt;w:m&lt;m&quot;//&gt;&lt;r:nts &gt;&lt;r wa:alPva&lt;Math&quot; w:&lt;m:CaafareasalPrP/&gt;&lt;Marreast=lPr&gt;mt&quot;/&gt;&lt;w&lt;m:crx:flw?è??&gt;&lt;wtw:rPrréar&lt;=&quot;Cambrr&gt;m&lt;w:&lt;iaP&lt;wrFalaontst&quot;/&gt;s=&quot;?Pr&gt;&lt;mrw:rPrn/&gt;&lt;w waw&gt;&gt;&lt;/&gt;:w:r Math&quot;/&gt;&lt;w:i/re&gt;&lt;m:s&quot;Cambria?&gt;&lt; m:/t&quot;&quot;//&gt;&lt;r/?&gt;&lt;w:nobPr&gt;&lt;m MatsSf:ctr &quot;rrm/&gt;wProofarePrP/&gt;rast=&quot;??tf:nts aa:asnww:m:aw&gt;rscii/&gt;&lt;w:sz&gt;Pr&gt;&lt;m&lt;w:rPr&gt;&lt;MadP/&gt;&lt;aCaa&lt;ons&gt;&lt;rw:r w:val=&quot;24&quot;/&gt;:nt:&lt;w&lt;w:s:Cam:crbrivn/P/ram&quot;&gt;&lt;w:ascii=&quot;Camba Matz-cs w:val=&quot;/r/far&gt;&lt;w&quot;24&quot;/&gt;&lt;/h&quot; w:fareastw:rPrr w:P/&gt;&lt;wfareast=&gt;&lt;/m:ctrlPr&gt;&lt;/m:r&gt;&lt;/m:sSubPr&gt;&lt;w:rFontst&quot;/&gt;m:e&gt;&lt;m:dPr&gt;&lt;mr&gt;&lt;w:rPr&gt;&lt;w:rFontambria t&quot;/&gt;&lt;s w:val:ascii=&quot;Cambria Math&quot; st=&quot;??t&quot;/&gt;&lt;ww:Pfawreast=&quot;???è??aエ?&lt;w…é?‘&quot; w:am:crh-&gt;:nt:asn/P/ri=asn/am&quot;Camb&quot;t&quot;/PrPr&gt;&lt;w:vn/&gt;-cs w&lt;wr&gt;&lt;w:r&gt;&lt;wxnl=&quot;//h&quot; wra Matsi=&quot;//farCambristw:ra Math&quot; w:csm:ctr=&quot;//&gt;r w:P&lt;w&quot;??ii:fare=&quot;P/m:r&gt;&lt;&gt;&lt;wCamb&gt;m:e&gt;?è??rFonta?ts w:as&lt;/m:sSucii?cs=&quot;? Pr&gt;&lt;mr&gt;a t&quot;/ia Math&gt;&lt;w:P//m/m:sSub:ctrl&gt;&lt;w??èt&quot;mr&gt;&lt;w:rP/&gt;&lt;?aエ?&lt;wt=&quot;??t&quot;/:val:ascwx:…é?‘&gt;&lt;/h&quot; wdPr&gt;&lt;mr&gt;&lt;wm&quot;Camb::farerv:am:cral/&gt;&lt;ww:Pfawr:ascii=&quot;Fontst&quot;///h&quot; w&gt;mastm:r&gt;&lt;/m:s&gt;-cs wSub&quot; w&lt;s w:vsn/P/ral:w:sm:ctrPfawreastas:hintrFonta=&quot;faistw:rreaw:s::rFontambrb&gt;m:e&gt;nl=&quot;/riCambr Mathia??t&quot;/&gt;sn/am&quot;/m:r&gt;&lt;&lt;ww:P Matst&quot;/&quot;/&gt;&lt;:dPr&gt;&lt;mr&gt;&gt;?&lt;wr w:P&lt;w:&gt;&lt;:ctrlambria &lt;mr&gt;Mat&quot;//farht&quot;/P-&gt;:nt:r&gt;&lt;/m:r&gt;&lt;w:sSux:font wx:veastasc&quot;/&gt;&lt;wx:fs&quot;P/&gt;&lt;wt=&quot;??na Mat?è?w:rP?aal=&quot;CarPrr wr/&gt;m:e&gt;&lt;m:dwPr:sSub&gt;&lt;rm:fareaaii:fares&quot;t=mbrivn/&gt;&lt;war &quot;??t&quot;/&gt;&lt;wrw:Pfa:wM&gt;ath&quot;/&gt;&lt;hw:i:ctrl/&gt;t&lt;w:noProia&quot;/r/&gt;&lt;w t&quot;/&gt;&lt;&lt;s w:sva&lt;lof/&gt;&lt;ww:rPr&gt;&lt;w:mrsz&quot;r&gt;&lt;w:rFontsPt/&gt;&lt;w&quot;/&gt; w&gt;:vaPl=/&quot;24&quot;/&gt;&lt;st=&quot;??t&quot;/&gt;i&lt;ww:rii=&quot;CambP&lt;uw:sz-cs w:cva:l=&quot;&quot;24&quot;/?&gt;&lt;/ontambriah t&quot;/&gt;w&lt;w:rPr/Pr&gt;&lt;w:tr&gt;&lt;m:tt&gt;W&lt;/m:t&gt;&lt;/m:r&gt;&lt;/m:e&gt;&lt;m:sub&gt;h&quot; st=&quot;??t&quot;/&gt;&lt;:asc&gt;&lt;iiw&lt;m:r&gt;&lt;w:rPr&gt;&lt;w:rFonts w:ascii=&quot;Cambria Matstaw&quot;/&gt;&lt;&lt;mwxth&quot; w:fareast=&quot;???è?ˉé?…é??mrsz&quot;?r&gt;&lt;wontsP:m w/&gt; w&gt;aPl=/4&quot;/&gt;&lt;:h-ansi=&quot;CambrPr&gt; w:vaP&lt;wst/&gt;&lt;w:rria Mai&lt;ww:rmbP&lt;u24&quot;/?a:l=&quot;s w:c&lt;s w:valtt&quot;?t&quot;/&gt;iareast=/&gt;&lt;wx: w:&lt;/m:rva:h&quot; w:t&gt;&lt;/:cs=&quot;&gt;W&lt;/m????&gt;&lt;m:tr/Pr&gt; t&quot;/&gt;w?w:sz-c??Pr&gt;&lt;wエ?…é??/m:r&gt;&lt;w:rPontambriah&lt;iiw&lt;m:r&gt;?&gt;&lt;w:tr&gt;&gt;&lt;:a&quot; w:fareasc&gt;&lt;i&lt;m:tt st=&quot;??t&quot;mwxth&quot; w:&lt;w&lt;/m:e&gt;&lt;m:suw:ii=&quot;&quot;/&gt;&lt;&lt;mwx&quot;/&gt;&lt;tCamb w:hint=&quot;far Matstaw&quot;eaPl=/t=&quot;??Pr/Pr&gt;&lt;i=&quot;Cambriw:4&quot;/?tr&gt;/m&gt; w&gt;:?tr&gt;&lt;w:rFontm:rs&quot;/&gt;&lt;:asc&gt;:l=&quot;rntsP&gt;&lt;/m:e&gt;&lt;t&quot;/&gt;&lt;wt&gt;&lt;/w:Pst&quot;/&gt;mrsz&quot; w:c&lt;r&gt;&lt;wwx:&lt;w:rFontst&quot; w:fW&lt;/mareast&quot;/bP&lt;u&gt;fo&lt;w:rCambria MatPr/Pr&lt;m:t&gt;&lt;w:&lt;ww:rw:rPr&gt;&lt;w:rFtnteast&quot;/&gt;&lt;/Pr&gt;w:vaPwx:f wx:val=&quot;Cambw:r&gt;&lt;w:mPrt&quot;/&gt;w/Pr&gt;&lt;w:rria Mmwxth&quot; w:farw:va:ath&quot;/&gt;&lt;w&quot;??t&quot;/&gt;&lt;:ascambrit&quot;/&gt;ia Matstaw&gt;&lt;:i/&gt;&lt;w:notambriast/&gt;&lt;w t&quot;/&gt;&lt;Proof/&gt;&lt;w:sz w:vah??t&quot;/&gt;&lt;:asciilia MbrPr&gt;&lt;w:rats:sz-ct&quot;/&gt;&lt;&lt;m=&quot;24&quot;/&gt;&lt;w:sz-cs w:val=&quot;24&quot;/&gt;&lt;/w:rP st=&quot;??t&quot;/&gt;&lt;wr&gt;&lt;m MatCambst&quot;/a&lt;s w:val&gt;&lt;wxt:t&gt;1&lt;/m:t&gt;&lt;/m:r&gt;&lt;/m:sub&gt;&lt;/m:sSub&gt;&lt;m:r&gt;&lt;w:rPr&gt;&lt; Mw:tatst&quot;/&gt;&lt;wxare:Past=w:rFonts w:ascii=&quot;Cambria Mathaw&quot; w:fareast=&quot;???è?osfc&gt;&lt;ˉé?…?z w:???t&quot;/w:va/&gt;&lt;:h  Ma/Pr&gt;&lt;w:r M&lt;w:rbrtt&quot;/ntst&quot;/&gt;&lt;w=&quot;24:r&gt;&gt;&lt;w&lt;&lt;m=x:w:al=&quot;h-ans:sz-ci=&quot;Cl=&quot;2&lt;w:szr&gt;&lt;w:ra?t&quot;/mbria Mz-cPst&quot;/ sts ath&quot; t&gt;1&lt;w:cs=&quot;?Cambt&quot;/&gt;=&quot;??t&lt;&lt;m??t&gt;1&lt;è?ˉé??:sub&gt;&lt;/r&gt;&lt;w:rPr&gt;t&quot;/&gt;&lt;wxFonts w:aare&quot;/a&lt;s w:?? w:hit&quot;&lt;/m:r&gt;&lt;/m/&gt;&lt;wb&gt;&lt;m:r&gt;&lt;wr&gt;&lt;mnt&quot;/&gt;&lt;wxarats w M??t&quot;/???è?osfathaw&quot; :asci??t&quot;/&gt;&lt;s w:val&gt;&lt;&lt;:ascm:r&gt;&lt;/m:suiit=&quot;faw:rPrw:al=&quot;&gt;&lt; Mst=ww=&quot;24:ambriaM&lt;w:r=&quot;???a/&gt;&lt;:è?o MarFonwreastt&gt;&lt;m MatCamh&quot; t&gt;1&lt;bambria t&quot;/&gt;&lt;cPst&quot;/&quot;/east&quot;/&gt;&lt;wxra?t&quot;/:st&quot;/&lt; Mw&quot;:aCl=&quot;2=w:rw&lt;&lt;m=Fonr MbrerMa…?z w:thaw&quot; w:tr&gt;s :tatsta&lt;s w:vab&gt;&lt;/lf&gt;&lt;t&quot;/wx:fontm??t&gt;1&lt; wx:val=&quot;&quot;sf?CambCambria M-cP st&quot; aMa:rPr&gt;&lt;w:sz&lt; Mw:ttci=&quot;s&gt;&lt;w:rt&quot;/w:vah&gt;&lt; arw:far24eastwxtth&quot;w/&gt;&lt;w:i/&gt;bri:ra Matmhaw&lt;w:noProof/&lt;&gt; &lt;:st=s=&quot;??tt&quot;/&gt;&lt;wxarzo-/cs e:P&quot;??t&quot;/&gt;&lt;aaw:sz-c&lt;w:/sz w:vanlst=&quot;???è?rescw&gt;&quot;2&lt;=&quot;24&quot;/&gt;&lt;w:suz=&quot;Cr&gt;m&gt;=&lt;w:r-cs w&lt;:&quot;//&gt;&lt;wbrxareas/t=valm=&quot;24&quot;:/&gt;&lt;/w:frPr&gt;&lt;m&lt;:/:Pr&gt;&lt;w:rt&gt;+&lt;/m: t &gt;b&lt;/m ?t&quot;/&gt;&lt;&lt;&quot;mMattst&quot;t/&gt;&lt;wixamb:r&gt;&lt;/m:ez&gt;&lt;/4m:d&gt;&lt;m:srSub&gt;r&lt;m:ntst&quot;/&gt;sSurbPwhr&gt;&lt;m:ctr&lt;lPr&gt;&lt;w:rPirtm&gt;&lt;:w:rFonts w:lao/scii=&quot;/a&gt;w:ot&lt;wx:Ctahawmbria /Matah&quot; w :fareast=&quot;???&gt;&lt;?n??-cé?…é?? r&gt;m&gt;è?sw&lt;:&quot;/cww:h-Cr&gt;m=ansi=&quot;/&gt;&lt;wxtC&lt;reas/w:su&lt;/w:famb&gt;&lt;wbrria Mathxare:P&quot;r&gt;&lt;m&lt; cs wm/&gt;&lt;&lt;&quot;: t =&quot;24&quot;:&lt;w:c?sc&gt;&lt;s&gt;&lt;w:r=&quot;: t&gt;b???èez&gt;&lt;/4&quot;t/&gt;&lt;wi&gt;&lt;m:/:/t=valm&gt;&lt;wx:f??tm:ctr&lt;tst&quot;tエ??&quot;/&gt;sSurd&gt;&lt;m:scii=&quot;/ar?rt&gt;+&lt;/m: ?‘&quot;/&gt;&lt;wms w:lao/b:r&gt;&lt;/m:ezx:&quot;/Pirtm&gt;&lt;:h&quot; w :fa&gt;sSubPwfont wx:va s:&quot;/t=t&quot;wmbria //&gt;&lt;&lt;mMatt&quot;?&gt;&lt;ii=&quot;/&gt;w:or&gt;m&gt;m:sS&gt;&lt;w:rPirtmub&gt;r?tw:f&quot;/&gt;&lt;w??&gt;&lt;?n??l=&quot;C&lt;&lt;&quot;ambr/&gt;&lt;wxarbria Mas/ataeast=iaFonts w:l t ao&gt;st&quot;/&gt;sr&gt;m=SubPh/4&lt;m:/P&lt;/mtstst=&quot;?r&lt;?&lt;m&lt;?&gt;&lt;?n&quot;/&gt;&lt;waxamb ?t&quot;/&gt;wi&lt;&gt;w:t&lt;w&lt;wbrx:Ct&lt;mrr&gt;&lt;w:r MPr&gt;&lt;w:r t&gt;bPirtath&quot;è?scw/&gt;&lt;aw:i:sr/&gt;&lt;w:no/Proo=&quot;24&quot;:ia :Math&quot; w f/&gt;&lt;w:tst/&quot;tsz w:val=&quot;24&quot;/&lt;&gt;w:suw&gt;&lt;w:sz-cs w:fvaw:t&lt;wxo:m:/&quot;:Cahawl=&quot;2?&gt;&lt;???ˉz:ez-c4&quot;/ Matas/scii=rtmP&quot; cs wt &lt;&quot;/&gt;w:tatast&quot;/&gt;/4&lt;wx/m: w:rFor&lt;&gt;m=nts w:lwab&gt;&lt;mtrl&gt;&lt;m&lt;rPr&gt;&lt;w:rPi:ntst&quot;wi/&gt;lao&gt;&lt;/w:rPrrr&gt;&lt;/&lt;?nm=valm:&gt;bctrlwbrPr&gt;&lt;&lt;as&gt;&lt;ttw:r//t&gt;bm:sSubPPhr&gt;&lt;msr:e&gt;&lt;m:r&gt;&lt;w::Ctc:?sc&gt;&lt;rPr&gt;&lt;w:/rFoncwts w:a&gt;sch&quot;:xare:Pifi=&quot;t&quot;Camb&quot;ria &quot;/uw&gt;&lt;wxtscrtiarxoeast=&quot;w ?????&gt;&lt;i=&quot;/b&gt;&lt;suwx:Math&quot; w:fare/:ast=&quot;?????zˉ&gt;&lt;&lt;mér&lt;?rtm…lwaé??:tata? w:h-aFo&gt;m=nsi=&quot;Cl&gt;&lt;m&lt;ambriaètst&quot;wi?ˉz-cw:rPrrrPP&quot; cvalm:&gt;bs w&lt;rPr&gt;&lt;&lt;atw:r//&gt;&gt;&lt;wx/m: &lt;w:rx:C&gt;&lt;mtrl&gt;rahaw st&quot;/&gt;laoPr&gt;&lt;/&lt;:ctrlwbrw:r/t&gt;hr&gt;&lt;msrbw::CtcPr&gt;&lt;wts w:ar&quot;Camb&quot;e:Pif&gt;:/:?nMath&quot; w:cs=&quot;???èwxareast=?ˉé??scii=&quot;/&gt;w:té?? w:hintw st=&quot;??t&quot;r&gt;rtm…lwa&lt;r:r/mˉ&gt;&lt;&lt;mér&lt;:/:ast=&quot;????s&gt;Math&quot; w:far&lt;mi=&quot;/b&gt;&lt;suwxst=&quot;w ?????:xtscrtiarxoambria &quot;/uwtw:r//r:xare:Pii=&quot;t&gt;&lt;w&gt;&lt;&lt;ats w:asch&quot;:Pm:&gt;br&gt;&lt;w:rFoncww:Prrr:CtSubPPhlPrst&quot;wi&gt;&lt;&lt;s&gt;&lt;tt/mCl&gt;&lt;m&lt;=va&quot;Camb&quot;lm/&gt;&lt;w:csaFo&gt;m==&quot;?w:Pifxw:rFo??:tatantsw:a&gt; w:l???/&gt;&lt;w&gt;&lt;&lt;mé&gt;&lt;w:/?lwartmx:trlPr&gt;&lt;&lt;sas:Ctc:t=&quot;????&lt;?z&gt;&lt;w:rfr&gt;&lt;msr=&quot;fth??&quot; w:fare/:are:r/t&gt;basar?&gt;&lt;i=&quot;/b&gt;&lt;sut&quot;/&gt;trlwb/rwx&lt;wx:tiareast=&quot;w fonb&gt;??&lt;a&lt;mt&lt;/&lt;?nrlP &quot;/&gt;&lt;wxtscr&gt;btrxo&gt;&lt;w:rPit&gt;lao wx:&lt;m:rrr&gt;&lt;wuw::c?sc&gt;&lt;rl&gt;r&quot;val=&quot;Cwiambria M&quot;tath/m: if&quot;/&gt;&lt;wxm&lt;b&gt;&lt;m:ntst&quot;/&gt;&gt;&lt;w:a&gt;:s w&lt;ist=&quot;m=???&gt;&lt;i=&quot;/b/&gt;&lt;n/ts w?-c:aata?&lt;schxare:Pw:nc:oPrtoof/&gt;&lt;w:?sz rx:Catmhawwr&quot;/h Matst&quot;/&gt;r&lt;wx:val=/&quot;st=&quot;z??b?ètt?ˉ&gt;&lt;rwx&lt;m24&quot;/&quot;Ca?&lt;ambrie/:a &quot;wbr/&gt;&lt;lm&gt;??wxt&gt;&lt;wr&gt;b:sz-cs w&lt;su:va=&quot;/&gt;w:tl&lt;rxo?n:rr=&gt;r&quot;&quot;24&quot;/&gt;&lt;/w:rPr&quot;w &gt;&lt;m:t&gt;W&lt;/wuwmCwi if:tilaoaPr&gt;&lt;&lt;w:rw:rsciacrt=&quot;mreast:a&gt;xm&lt;=&quot;lM&quot;t&gt;r???&gt;&lt;&gt;&lt;/m:r&gt;&lt;/m:e?&lt;&gt;&lt;m&lt;n/:sub&quot;m=&gt;m: &lt;w:lmw:::r&gt;&lt;w:rP:?r&gt;&lt;w:rac: sciitaxarea w=/&lt;st== w?&quot;/&gt;&gt;r&lt;sc&gt;&lt;wx:wrFonts w:ascii=tm&quot;Cartm-cbria Mat=&quot;/?bbh&quot; w:farieast=/h&quot;z&quot;?????ˉé?…é?? &quot;w=&gt;r&quot;br?z rx:Cahn:rraw &quot;??briel&lt;rxo/:t&quot;???i ifètt&quot;/&gt;&lt;ww:h-rt=&quot;mawmCwiw:tl&lt;?nnsi=chxaWst:a&gt;&lt;/wuwre:cs w&lt;suP&quot;m:e?&lt;Castxm&lt;ambria &quot;/&gt;&lt;lmMat&lt;m&lt;n/hm:tilao&quot; w:rP:?:cst=a w=/&quot;lM&quot;t=&quot;???sub&quot;m=èw:rPr&quot;ww:rac: ?&lt;t=?&quot;/&gt;&gt;r&quot;???èscii=tm?ˉ&gt;&lt;&lt;mreast=&quot;l&gt;rm:ntsra sciisc&gt;&lt;wx:wrtartm-fari=&gt;r&quot;eastcbra: &lt;w:lmw::t&quot;/&gt;ˉé?…é?? z-cs w:rw:rh-rt=&quot;msciacm:a&quot;???i ifst:Cahn:rr=/h&quot;z&quot;????e&gt;bria Mat=&quot;/?b&lt;m:sub&gt;P&quot;m:e?&lt;nts w:asciiaWst:a&gt;=tmmarea w&lt;-awmCwistt=a w=/== w?: rtw:riel&lt;rxova w:rP:?=&quot;/&gt;w:tw=&quot;??…é??mMat&lt;m&lt;n/ &quot;wbr?è&quot;/&gt;èscii=tm&lt;wxt&gt;W&lt;uP&quot;Castxm&lt;/m:tiaP&lt;t=?&quot;/&gt;&gt;fari=&gt;r&quot;rw:farieast=/h&quot;zrchxaW&lt;/wuw&gt;r&quot;t=&quot;mww:raarieastc:&lt;&lt;wrs w:ascii=&quot;Carta sciixarea &quot;? if?rtm-cbr?sub&quot;m=waw:tl&lt;?n&lt;:r:f::e?&lt;hint=&quot;faCa:rrmbria &gt;&lt;wx:wr w=/&quot;/&gt;&lt;w&quot;?st=&quot;lM&quot;t?br:a&gt;ie/:xtreast???&quot;/&gt;&lt;w&quot; w:farie scP:?iitaast=/hx:fonCwit hm:tilaowx:val=&quot;/?bW&lt;/w:ascii/=&quot;Cam-cm:t:clmw::s rxow&lt;suiaPr&gt;&lt;w:rCambria&quot;/ Mats:me&gt;&lt;m:sut&quot;??=&quot;l&gt;r?èttb&gt;&lt;w:brlt:&quot;/&gt;&lt;wxxareasft==&quot;/&gt;&lt;=&quot;Caw?ww:rPrr&quot;w mbria &lt;&quot;z rx:CahawMat==&quot;z/brsc&gt;&lt;/ Ma: th&quot;a &quot;/&gt;&lt;lm/&gt;r&lt;w:in/&gt;&gt;&lt;w:noProof/&gt;&lt;wstciare?ast=t&quot;????&gt;&lt;t:sz w:val=&quot;24&quot;/&gt;&lt;ria:a scivixareast&lt;=w:sz-cs w:vb/aiat Moath&quot; w:farilh=&quot;24&quot;/&gt;cCoh&gt;xare:P:&lt;r/w:rw:t?è?ˉ&gt;&lt;&lt;ts:s&quot;??u&lt;mPr&gt;&lt;m:s:mt&gt;2&lt;/m:t&gt;&lt;/-cmt:sf:r&gt;&lt;/m:sbrul&gt;rb&gt;&lt;/a scii=&quot; &lt;/Pr&gt;&lt;wx:m:?wsttSub&gt;&lt;m:&lt;/rw?&gt;&lt;w:rbrPr&gt;&lt;w:rt=Fon&quot;??tw &quot;/&gt;&lt;wt&quot;zs&gt;&gt; w:asc&gt;rii:ntst&quot;/&gt;=&quot;Cam: ??binriae? ahawxtMath&quot; =&quot;/lmivb=tw::rfriastrsc&gt;&lt;e:laatst=&quot;ra???è??vb/エ??/&gt;cC???&quot;/&gt;&lt;r:?s w:vb&gt;&lt;t&gt;coh&gt;?‘&quot; w:h-ansi=&quot;C24&quot;/&gt;cs&quot;??oambvaia Moria are&lt;&lt;tst:sf:ast&lt;Math&quot; w:xare:P:=&quot; &lt;c-cmt:s=&quot;???è??&lt;m:&lt;/?w:fari&gt;&lt;ii=&quot;/Prm:s:mlh?è&quot;/&gt;&lt;wx:f&gt;&lt;w:rbr&gt;&lt;/m:sbré?…é/&gt;&lt;wt&quot;zs&gt;&gt;?‘w:t?=&quot;/&gt;/&gt;=&quot;Cam: ??&lt;wx:m:?wè?ath&quot; =&quot;/lmivˉ&gt;&lt;&gt;&lt;strsc&gt;&lt;e:laatw:rvb/エ??/&gt;cCPr&gt;&lt;w:rt=&lt;su&lt;wt&quot;zs w:asc&gt;r&quot;/&gt;&lt;&quot;Cam: binriae?wx:font&quot;/lmb=tw::rfri/ Ma=&quot;ra???è??vb/cm:r:vb&gt;&lt;t&gt;coh&gt;&gt;24&quot;/&gt;cs&quot;??&lt;re&lt;&lt;tst:are?è??&lt;m:&lt;/:P:=&quot; &lt;sf/m:sul&gt;rtst&quot;/&gt;&lt;wx w:sttSub&gt;&lt;m:rw?x:vaci&quot;??tw &quot;/&gt;&lt;wt&quot;zare&quot;t&quot;/&gt;=&quot;Cam: bin2Math&quot; =&quot;/lmb=sc&gt;&lt;e:last=&lt;r:?s&quot;C2 are&lt;&lt;:P:c-cCcii=&quot;&gt;&lt;tw:z iv??s&gt;&gt;rbr/Prmt:ts:4&quot;/&gt;co w:vb&quot;rat4&quot;/&gt;chxare:t&gt;2&lt;/m:t&gt;&lt;/-cP&lt;rast=a scii&quot;/&gt;&lt;wx:m:sttxchxare:w:rFon&quot;??tw P&lt;/w:rwst&quot;/&gt;=&quot;Cam: :ta=&quot;/lmbw::rfastr…i????&quot;/&gt;&lt;rambva =w:x:?w&lt;/m:sbrai&gt;&lt;m:s:mre:P:ia Mor:ea Math&quot;24e:P&lt;/w:r?è?ˉ&gt;&lt;&lt;m&quot;/&gt;chxare:P&quot; w:fariast-cC=&quot;???&gt;&lt;l&gt;&lt;t=&quot;Camb ivri ??a Ms&gt;&gt;athrbr&quot;/&gt;/Pr&lt;awxmt:tMatts:h&quot; =&quot;/l&gt;comw:i//:vb&gt;ˉé?t=&quot;ra…????&gt;b/lmb=tria arem: binˉ w:f/&gt;&lt;wt&quot;zari?&quot;/&gt;=&quot;Ca&gt;&lt;m:rw?:sul: :ta=&quot;&gt;r?&lt;&lt;sua=&quot;/lmblhast&quot;/lmbw:&lt;&lt;t=&quot;Cmbw::rfambria::rfast ahaw&gt;&lt;astr…iw:noPrtr…???oof/&gt;&lt;w:s?&quot;/&gt;&lt;rz w:vast-cCal=&quot;2mbva =4ria xt&gt;&lt;l&gt;&lt;tMaw:x:?wth&quot; =&quot;/bamb iv&quot;/&gt;&lt;/m:sbrw:bri ??sz-cs w:val=&quot;a Ms&gt;&gt;&lt;m:s:m24&quot;/&gt;&lt;/athrbrwathare:P:&quot; w&quot;/&gt;/Pr::rfarsc&gt;aia MwxmCat:o&lt;:rPr&gt;&lt;m:&quot;/&gt;&lt;tts:r:t&gt;=&quot;+a::rfast??&lt;l&gt;co/&quot;Cambm: m:ta??tw/:vb thw:&quot; m:sttw-c::rfraarerf:l&gt;&lt;/m:r&gt;&lt;m:ia xttMstath&quot; w::rd&gt;:P&lt;ra snci&quot;/&gt;=&quot;Cambria xtii=&quot;w:ascii:ntst&quot;/&gt;/&gt;&lt;wxrw:tw:rrFon&quot;??t&quot;/&gt;&lt;w:&lt;m:dPr&gt;&lt;m:begChr m:val=&quot;&quot;/&gt;&lt;&lt;&lt;mm:ctrlPr&gt;aw&lt;w:rPr&gt;&lt;w:rFonts e:Pw:ascii=&quot;Cambria Math&quot; ariw:/bfareast=&quot;???è?ˉr:?mb?a&gt;coreast=…fasté thw:?‘&quot; tw/:vbw:h&quot;Cam: -aarerfansi=&quot;Caa::rfrath&quot; a??tw mxttMstbrstrfar m:stCambrtsia xtta sncic&gt;h&quot; w-c&lt;=st&quot;/&gt;&quot;???&gt;&lt;ia xtii= M&lt;ra son&quot;??tna?è?ˉtst&quot;st&quot;/&gt;/&gt;&lt;/&gt;&lt;wx?&lt;m:begChèria xtii=&quot;/&gt;&lt;wxonts e:Pw:&quot;??t&quot;/&gt;:&lt;&lt;&lt;mm:ctrfth w::rfa:ntsh&quot; ariw:t&quot;/&gt;/re: w&lt;m:&gt;&lt;w:rFontbegChr?ˉr:?mb::rd&gt;:P&lt;rxrw:tw:rrl&quot;i=&quot;Cambri wtth&quot; hw::cs=&lt;&lt;&lt;mm:ctr&quot;???è?ˉ ariw:/bfarn&quot;atCambrrerf??t&quot;/&gt;&lt;w:é?…é?:rPr&gt;&lt;w:rFonè??w-c&lt;=st&quot;/&gt;:tw mxttMsté?a&gt;cots‘&quot;/&gt;&lt;t&quot;/&gt;&lt;w:M&lt;ra son&quot;??t&lt;m:dPr&gt;&lt;wonts e:Pw:x:Pw:ia xtta snciascii‘&quot; tw/wx?&lt;m:begCh:vb=&quot;ntsh&quot; ariw:Cambrfm:ia xtMat???&gt;&lt;ia xtii=h:dPr&gt;&lt;:&lt;&lt;&lt;mbri wtth&quot; m:ctrChr?ˉr:?mbm:begChr Caa::rfraMath&quot; ariw:/bst&quot;st&quot;/&gt;n&quot;atCambr/&gt;&lt;fa&quot; :mbri wthw:&gt;&lt;w:rFontw::ront:nts:begChr ttsia xttm:vst&quot;/&gt;alast=&quot;????rn&quot;arerf&quot;??t&quot;&quot;i=&quot;Camw:bri/&gt;?ˉr:=&quot;t&quot;r&gt;&lt;m:begChr m?t:v/&lt;ia M&lt;ra sn&gt;/&gt;tMst&lt;wrem:briw:/bfaw:regChrast=…fastxrw:t wChx:vh&quot; al=&quot;Cambria Mathrnciia xtii&lt;&lt;&lt;mm:cmba&gt;cotr=sw:h&quot;Cam: c&quot;/&gt;&gt;tr&lt;&lt;&lt;mm:brctrlPr&gt;aw=&quot;Cami=bria &quot;:ntst&quot;:w:vb/&gt;/ontsCaa??tw xt&quot;/&gt;&lt;w:nti/&gt;&lt;w:n/&gt;oPror m:val=&quot;&gt;&lt;&quot;/w:tw:rfrw:arrffar mmbr:stt&gt;&lt;&lt;&lt;mof/&gt;&lt;w:szri=&quot;w:atscia sc&gt;h&quot; w&gt;&quot;/&gt;&lt;w:-cMathxtt&quot;t :ariwbfa:/bii:ntst&quot;/&gt; w:vral=&quot;24&quot;/&gt;&lt;Pr&gt;&lt;w:rrFonts e:Pw:snz-cs: w:val=&quot;xw:rFon&quot;??t&quot;/&gt;&lt;w2rstrfarsc&gt;&lt;4&quot;/rd&gt;:P&lt;r&gt;&lt;/w:r&gt;aCambria Math&quot; ari scii=&quot;/&gt;&lt;wx:Pr&gt;&lt;/m:ctrlPr&gt;&lt;/m:dPr&gt;&lt;rfare:lm:e&gt;&lt;m:=&quot;???è?wf:t&gt;awˉraé?areast=sS:mbrrrubzri:at&gt;&lt;m:sSubPr&gt;stt&lt;m:ctrlP&quot;/&gt;r&gt;&lt;t :w:rt&quot;tPr&gt;&lt;w:rF xttw: w::ro&lt;w:nts wbfaw24&quot;:vr-c:ascbrst=&quot;???&gt;&lt;ii=&quot;:rrC:vaambr/&gt;s: riw:&quot;/&gt;/b&lt;&lt;:farsn&lt;mia Math&quot; csrsc:w:fw2rareast=&quot;???è?tstmbath&quot;r&gt;&lt;4&quot;irFonbriaa xt&quot;/&gt;&lt;wr&gt;&lt;/xˉé??&lt;r&gt;&lt;/w?&lt;m:=&quot;??&quot;:ctrlPr/rd&gt;i=&quot;/&gt;&lt;w:P?? w:h-??è?wfansi=&quot;Cam:rFon&lt;r&gt;mri:at:e&gt;&lt;m:=:ctrlP&lt;/w&gt;&lt;t ::rts e:: w:Pbr4&quot;/rbzrid&gt;=&quot;Pr&gt;&lt;/mawˉra::rt&quot;td/&gt;&lt;wx::P&lt;ria?faw24&quot;è?ˉ2rsaritr&quot;:rrC:valP&quot;//b&lt;&lt;:far&gt; scii=&quot;sS:mbrtrfarbfaw:vrsc&gt;&lt;?è&quot;/&gt;&lt;w:lm:mbr/&gt;s: st=s:rFh&quot; csrsc xttSstmbath&quot;:r/&lt;m:=&quot;?&gt;&lt;wr&gt;&lt;/re&gt;&lt;m:=&quot;x:fa Math&quot;&lt;ii=&quot;:rr w:cs=&quot;?ii:ntst&quot;s:w:fw2rnts wbfFonbriaa/&gt;??ètrlP:: w:r???è?w&gt;&lt;t :mri:atwfエ?…é??/&gt;&lt;w:&quot;/&gt;/b&lt;&lt;:snmw:rF w::ro?tstmbr&gt;&lt;4&quot;&lt;w::sSubPrd&gt;i=&quot;/&gt;&lt;w&gt;st&gt;m:&lt;&lt;:fare&gt;&lt;m:=r4&quot;/rrC:vara?faw24&quot;a::rt&quot;trbzrit&lt;wx:font e&gt;&lt;m:=&quot;mia Math&quot; cs:???è?w:&lt;m:=&quot;?t&gt;awaCaxˉé??&lt;r&gt;&lt;//&gt;&lt;wr&gt;&lt;/wmbrin&lt;r&gt;mstmbath&quot;:ctrPr&gt;&lt;h&quot; csrsc/maw?rmbr/&gt;s: alP:: w:rbfaw:vritrlP&quot;/&gt;alPa MC?w&gt;&lt;t :ambr/&gt;riw:&quot;/&gt;ath&quot; a ?mri:atw::ronts ww-clm:er???è?wf&gt;&lt;mé4&quot;/rd&gt;:P:&gt;??è:&lt;&lt;:fartrlPr=&quot;???è?w: wbfFonbriatri&gt;=&quot;/rrC:va&quot;Pr&gt;&lt;/st&quot;s:w:fw2rm:th&quot;&lt;ia?faw:&lt;m:=&quot;?24&quot;i=&quot;:rrcit=s:rF xtti=&quot;sS:a::rt&quot;tmbrdwxrwr&gt;&lt;/&gt;&lt;/m:dPr&gt;&lt;?è?ts&quot;/rbzriP:: w:tmbrirFonrmbath&quot;fare:l:val:e&gt;&lt;m:==&quot;Cambria Mrd&gt;&lt;t :&gt;=&quot;csrsc/i=&quot;/&gt;&lt;w&gt;&lt;wx:ath&quot;/&gt;&lt;wbr&gt;&lt;4&quot;:i/&gt;&gt;ri:ats: :st=sSb&lt;&lt;:sn:rr&quot;ntsar wbfa&lt;w:w:vrnw:rFoè?wfn&quot;??t&quot;/&gt;i=&quot;Cambr/&gt;onP&quot;/&gt;&lt;rva&gt;&lt;/w:rriw:Pr/b&lt;&quot;?woProoˉraf/&gt;&lt;w:e&gt;&lt;m:=&quot;:sz w24&quot;rialP:val=m:=&quot;?&lt;w:&lt;/w?&gt;&lt;/?è?&quot; cs:ˉ: w:?&gt;&gt;fw2r&lt;rt&quot;tii=&quot;Cambrari scii=&quot;/&gt;&lt;&lt;ath&quot;&quot;:rr&lt;m&lt;w:rPr&gt;zri&lt;t :&lt;w:rF :Pbr4&quot;/xttrd&gt;&gt;stt:P&lt;rw::rscr?am:=rmbr:&quot;/&gt;easi:att=&quot;24&quot;m:dtsard&gt;:P/&gt;&lt;w:sz-&gt;&lt;ws: c&gt;a scii=&quot;/&gt;&lt;wx:s w:val=&quot;?wf244&quot;&quot;rstrfa:rvav&lt;&quot;?rrsc?w:w-ct&gt;aw&gt;&lt;sn/&gt;&lt;/w:rPr&gt;&lt;on/:Prm:ctfa&quot;/&gt;rlPx:r&gt;&lt;r4&quot;r/m:sSam:&lt;/rFonts e:Pw:aiasracbrst=&quot;???è?tstmbr&quot;????t?wrlPw:tia xt=&quot;&quot;2r???:&gt;&lt;u/w:rb:&lt;/wPr&gt;&lt;m:em:=&quot;&gt;ri&lt;m:cs:rrr?&lt;w:&gt;&lt;w:rPr&gt;&lt;cw:rFonts wt:arsci&lt;ttr:=fare:r/&gt;riw:/bli=&quot;Cambria : brM=&quot;ath&quot; w:&quot;?&lt;w???f?tst?&quot; ma:dMsttat&quot;/&gt;&gt;:Ph&quot;:vr ari/&gt;44&quot;&lt;wxfareast=&quot;i:Pr/rd&gt;:P&lt;ri:ntst&quot;:&quot;/&gt;&lt;s/n??&quot;/&gt;?è?ˉ?mbr/&gt;&lt;&lt;&lt;m?…é:Pw:aia?? /m:ctfaw:h&quot;????t-ansPw:xt=???:&quot;asrai=c?w:w-cx:r&gt;&lt;rr&quot;CarctrlPxt=&quot;2r:Pr&gt;&lt;onmb?=&quot;&gt;riwrlPriPt:arr&gt;&lt;cs wta Mathfarsc?w:t&gt;aw&quot; w:cs=s:rrr&quot;?rb:&lt;/w&gt;&lt;w:rF w:tttst?r:=:r?ia?ia :&quot; ma w???fè?ˉ4&quot;rstrfa&gt;&lt;m:casci&lt;tts:rsc&gt;&lt;?è&quot;:ntst&quot;:/&gt;&lt;wx:&lt;m&quot; w:&quot;?&lt;w:r&quot;&quot;/&gt;&lt;s/?&lt;w::Phi:ntst&quot;&quot;:t=&quot;i:Prvrf?è?&gt;&lt;m:em:ambria br=&quot;ˉ???&gt;&lt;u=???:/w:ré?…éPh&quot; asPw:xt=&quot;ri/&gt;44&quot;?‘w:h&quot;????tst&quot;/…é:PwrlPriPt:arw:aia&gt;&lt;sn??&quot;/&gt;&quot; w:hint=ariPr&gt;&lt;cs wtl=m???è?ts:rF w:tttst?t&quot; m:d:=&quot;iwrlPriPr&gt;&lt;c???è?ˉé?a&gt;:P:Pr&gt;=:r?ia?&gt;&lt;?è&quot;:ntst&quot;:ia :&quot; ma&lt;onmb?=&quot;&gt;ri&lt;ri:ntst&quot;/&gt;&lt;sarctrlPxr?ia?ia : w???&lt;w:r&quot;&quot;/&gt;&lt;s/?ft=&quot;2r:h-ansPw:asranreasrst=&quot;tr:=:r?ia?ia :??&gt;&lt;u=???: ??sw::Phi:ntst&quot;t&quot; Msttat&quot;/&gt;&gt;:P?è?tstmb&gt;&lt;wPt:ar:rF w:ttr:=r&quot;?????:sPw:xt=&quot;:Ph&quot;:t=&quot;i:Prèttst??t&lt;m?…?t&gt;aw&quot; w:cs=s:rrr?? /lPx&gt;&lt;cs wt:Pr&gt;t&quot;:&lt;onmb?:r?w:h&quot;????t&lt;w::Ph&quot;:vrwrlPm:ctfast ma&quot; Msttat&quot;/&gt;?w:tt=&quot;farwwiPr&gt;&lt;cx:&lt;m&quot; w:&quot;?&lt;w:&lt;s/:Pw:aia/ w:&quot;???è?tst&quot; Mst=trfa&gt;???f&lt;m:ca???:sci&lt;ttc?w:w-cx:r&gt;&quot;&gt;riaw&lt;sn??&quot;/&gt;&quot; w:csts:art&quot;=&quot;?rb:&lt;/w&gt;&lt;rrtbli=&quot;Cambria M=a : &quot;ert?&quot; ari/t=&quot;&gt;44&quot;lP=&quot;2rr&gt;&lt;/m:sSam:rFo:w-c&quot;Ca:rctr:PrlPm:tem:ambria brx:ntsr:= e::asraPas w:rstrfta&gt;&lt;am:cs:asci&lt;rfare:r/&gt;riw:/brw:w-c/&gt;&lt;snrr&quot;Ca/crPr&gt;&lt;onw:nw:rFon&quot;??t&quot;/&gt;&lt;ws&lt;wx:&lt;ta&quot; m:dm:r?&lt;w:t&quot;/w&gt;&lt;wPxh-ansi=c?w:w-c:font/&gt;&lt;wxfareast=&quot;i/rd&gt;:è?fa&gt;&gt;&lt;m:etm:=&quot;P&lt;r w&gt;&gt;?:Px:val= &quot;Ca&quot;mbria:rFonts w:ascia rMath:fwa&quot;rsc?w??&gt;&lt;urt/w:r:t&gt;aw&lt;rfa&quot;r/&gt;re:l ascbr=st=&quot;???è?tstr&lt;aftabrmbria xtMath&quot;/&gt;&lt;w:i/&gt;&lt;w:noProbrotsa/t&quot;/&gt;sac:?t???x:rr?ˉ?m&lt;snbr/&gt;&lt;&lt;&lt;mf/&gt;&lt;w:dm:sz w:&lt;ta&gt;a?&lt;w sci:sSw:M=&quot;ascbr&quot; &quot;/w&lt;wxw:&quot;??m:d??&lt;wPia??st=?&lt;wxfˉ4r&gt;&lt;r?&lt;w&gt;&gt;?:on&quot;rstrfarsc&gt;&lt;?t?fa&gt;st&quot;Ca&quot; Math&quot; alth:= arism:ett=&quot;?è?fa??&gt;&lt;i=&quot;/&gt;t&lt;urtmbr&quot;????cia ?&gt;&lt;urrw:w-c?&gt;&gt;:Pw:t&lt;em:=&quot;hr&lt;afwa&quot;wx:val=&quot;24&quot;atrftthfwscbr=/&gt;&lt;w:szsa/are:r/&gt;riw:/b-cs w:val&gt;sacstra=&quot;2w:dmcsfrobra&quot;r=&quot;t=&quot;istbr/rd&gt;:Pfa&quot;?&lt;w/&gt;wx&lt;ru/w:r?r&gt;&lt;x:rrw:&lt;tarF w::r4&quot;/&gt;&lt;f?ast=rsc?w:t&gt;&lt;snaw/w:&gt;s:rPr&gt;&lt;m:xft&gt;&quot;:/wW&lt;/m&quot;:t&gt;&lt;/r??x:east=&quot;ii:nts/&gt;?t&lt;wPt &quot;/&gt;mts e:&gt;P:r&gt;&lt;:d/m:e&gt;&lt;m:sub&gt;&lt;m:r&gt;&lt;w:rPrw:&quot;?t????tst&quot;:M=&quot;/&gt;&lt;rfanre:lwx&gt;&lt;w:rFonts w:ascii=ast=&quot;Cambria Math&quot; w&gt;&lt;&lt;&lt;m:fareast=&quot;&quot;???-cè?ˉbrraé?…é?‘&lt;w/&gt;wx&quot; fa&quot;?&lt;ww:h-anstrfarsc&gt;c&quot;is&quot;/&gt;&lt;f?tbrsfarw:&lt;t&lt;fast=a&quot;r&lt;s&gt;&lt;x:rrixft&gt;&quot;:=&quot;tmbria xtCambri:PwW&lt;/m&quot;fa&quot;/&gt;&lt;m:xf&gt;ar&quot;???èw:t&gt;&lt;m:t&gt;&quot;/w &quot;/&gt;mtssn?w:t P&lt;ru/?t&lt;wPt w:rMa&quot;w/w:&gt;srPrw:&quot;?:??t&quot;/e:r/&gt;rmts e:&gt;:r&gt;&lt;w:riw::rFonts/b&gt;/&gt;?t&lt;wP&lt;wth&quot; =&quot;i/r&gt;&lt;/r??ww&gt;&lt;&lt;&lt;m:x&gt;&lt;w:rx:d&gt;:P&lt;??tst&quot;:rw:c??Px:r&gt;&lt;:dPrw:&quot; w&gt;&lt;&lt;&lt;&quot;?t?ˉ&lt;faf?rsc?w:tii=ast=&quot;ii:nts/&lt;w&gt;?t&quot;:&gt;aw?è&quot;/&gt;&lt;wx:fsw:ascii=-cst=è?ˉbrat&quot; :rPrfanre:lwrw:&quot;?W&lt;/m&quot;???Math&quot; w:&lt;taaris=&quot;?-cè?/&gt;mtsˉra??è?ˉé?…?Pfa&quot;/&gt;&lt;m::&gt;srPrw:&quot;?xf?‘&quot;Math&quot; w&gt;&lt;&lt;&lt;m:riw::rFontsfa&quot;r&lt;&lt;ru/?t&lt;wPt sr??ww&gt;&lt;&lt;&lt;m:&gt;&lt;x:rra w?tst&quot;:Mt&quot;:rw:c??Px=&quot;/ e:&gt;:r&gt;&lt;w:r&gt;&quot;?t?ˉ&lt;faf?&lt;rfast=&quot;Cambrt&gt;&lt;nts/&lt;w&gt;?t&quot;:m:/r??wx&gt;&lt;w:rt&gt;&quot;/wia Mac&gt;c&quot;istbrtPrw:&quot; w&gt;&lt;&lt;&lt;hn:hint=&quot;fa/&gt;rmts e:&quot;ii:nts/&lt;w&gt;reastw:&quot;???è?tstscii=-cst=&quot;:?èw:t&gt;&lt;d&gt;:P&lt;??tw:&quot;?W&lt;/m&quot;st&quot;:snM=&quot;:cs=&quot;?r&gt;cè?/&gt;mtsarsc&gt;csfw:tii=astw:&quot;?=&quot;a&quot;r&lt;w:r w&gt;&lt;/bnts&gt;/&gt;?t&lt;wP&lt;ii=-c&lt;m:è?ˉbr&lt;m:farc??Pxeast=&quot;F w:&lt;faf?:r?Math&quot; w:&gt;?t&quot;:&lt;ta&quot;/&gt;&lt;wx::&lt;:dPrw:&quot;?&gt;&lt;m:xftsSw:aMa&quot;w/w:&gt;s:swPt cbrst=&quot;???&gt;&lt;:asc&lt;w:rii=a=&quot;ii:nts&lt;mb&lt;w:rri:Pfa&quot;/&gt;m:fac??&gt;&lt;&lt;&lt;P?-cè?ˉra:r&gt;&lt;:nts/&lt;wdreast=&quot;???--cst=ct&quot;/&gt;x:rrmts &lt;/m&quot;e:Pfont wx:va&gt;mtsl=anre&gt;&quot;/w:lww:&quot;?&quot;C/r&gt;&lt;/r??xbnts:ambria  ec&lt;m::&gt;Ma???è?Px?tst&quot;/faf?a&gt;&lt;r:t Pt&quot;:&lt;t&quot;:ru/w:rfare:lth&quot;rw:t=&quot;&quot;??br??/&gt;&lt;w:i/&gt;&lt;&gt;a ˉbrscii=&lt;/ambria :&lt;taMnath&quot; w&gt;&lt;&lt;i:m:xfntths/&gt;?t&lt;mrewPt ast=&quot;Pii:n-a&lt;w:rnstrfarsc&gt;&lt;&lt;w:rtst&quot;/&gt;&quot;rmtbr&gt;&lt;&lt;&lt;iar&quot;??an&quot;/e:&lt;wr/&gt;&quot; =&quot;i/rt=arsac?w:t&gt;am&quot;wd&gt;::P&lt;rriwts:/b?è?=&quot;ra:&quot;?w:t/&gt;&lt;wxnts:w:noPr&lt;m:oof/&gt;rPxr&lt;:dwf?:sz w=&quot;:&quot;:val=&quot;24&quot;//w/&gt;&gt;&lt;w:sz-cs ontlws w:&gt;:ascii=ast=w:val=&quot;24&quot;:/&gt;x:&lt;-ac/w:rPr&gt;&lt;m&quot;:t&gt;n&lt;/w:&quot;??i=&quot;tmbrrria xt?è?ts?ta?t&quot;/&gt;&lt;wxm:rxf:t&gt;&lt;/Mnm:r&gt;t &lt;/m:suMath:r&quot; arib&gt;&lt;/:rthm:&quot;PsSub&lt;&lt;&gt;&lt;/m:e&gt;&lt;/?&lt;wtm:d&gt;::rt=&lt;/mtm:e&gt;&lt;m&quot;/m:d&gt;&quot;r&lt;mts:r&gt;&lt;m:rPr?:Psa Mas&quot;??t&quot;a:n/&gt;&lt;wx&gt;&lt;m:?sty m:e:a::l:val=&quot;p&quot;/&gt;&lt;/m:rPrr&gt;&lt;t&gt;aw&quot;&lt;&lt;mw:r:Pd&lt;rPwr&gt;&lt;wcw:/b&gt;&lt;:rFow:tn&gt;ts w:as&quot;&gt;?w&gt;&lt;cii=&quot;&gt;&lt;:wx:fCambria Math&quot;&quot; w:ah-ansi=&quot;:Camrbr&quot;/&gt;ia cMath&quot;/r&gt;&lt;wx:font wx:val=&quot;Cambria Math&quot;/&gt;st=&lt;w:color w:val=&quot;44546A&quot;/&gt;&lt;w:szxt w:val=&quot;24&quot;/&gt;&lt;w:sz-cs w:vail=&quot;24&quot;/&gt;&lt;/w:rPr&gt;&lt;m:t&gt; r         &lt;/m:t&gt;&lt;/m:r&gt;&lt;P/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31" chromakey="#FFFFFF" o:title=""/>
            <o:lock v:ext="edit" aspectratio="t"/>
            <w10:wrap type="none"/>
            <w10:anchorlock/>
          </v:shape>
        </w:pict>
      </w:r>
      <w:r>
        <w:rPr>
          <w:i/>
          <w:iCs/>
          <w:color w:val="44546A"/>
          <w:sz w:val="24"/>
          <w:szCs w:val="24"/>
        </w:rPr>
        <w:instrText xml:space="preserve"> </w:instrText>
      </w:r>
      <w:r>
        <w:rPr>
          <w:i/>
          <w:iCs/>
          <w:color w:val="44546A"/>
          <w:sz w:val="24"/>
          <w:szCs w:val="24"/>
        </w:rPr>
        <w:fldChar w:fldCharType="separate"/>
      </w:r>
      <w:r>
        <w:rPr>
          <w:i/>
          <w:iCs/>
          <w:position w:val="-14"/>
        </w:rPr>
        <w:object>
          <v:shape id="_x0000_i1090" o:spt="75" type="#_x0000_t75" style="height:22.05pt;width:144.85pt;" o:ole="t" filled="f" o:preferrelative="t" stroked="f" coordsize="21600,21600">
            <v:path/>
            <v:fill on="f" focussize="0,0"/>
            <v:stroke on="f" joinstyle="miter"/>
            <v:imagedata r:id="rId133" o:title=""/>
            <o:lock v:ext="edit" aspectratio="t"/>
            <w10:wrap type="none"/>
            <w10:anchorlock/>
          </v:shape>
          <o:OLEObject Type="Embed" ProgID="Equation.DSMT4" ShapeID="_x0000_i1090" DrawAspect="Content" ObjectID="_1468075786" r:id="rId132">
            <o:LockedField>false</o:LockedField>
          </o:OLEObject>
        </w:object>
      </w:r>
      <w:r>
        <w:rPr>
          <w:i/>
          <w:iCs/>
          <w:color w:val="44546A"/>
          <w:sz w:val="24"/>
          <w:szCs w:val="24"/>
        </w:rPr>
        <w:fldChar w:fldCharType="end"/>
      </w:r>
      <w:r>
        <w:rPr>
          <w:i/>
          <w:color w:val="44546A"/>
          <w:sz w:val="24"/>
          <w:szCs w:val="24"/>
        </w:rPr>
        <w:t xml:space="preserve">                  </w:t>
      </w:r>
      <w:r>
        <w:rPr>
          <w:iCs/>
          <w:sz w:val="24"/>
          <w:szCs w:val="24"/>
        </w:rPr>
        <w:t>（14）</w:t>
      </w:r>
    </w:p>
    <w:p w14:paraId="6E3EE168">
      <w:pPr>
        <w:adjustRightInd w:val="0"/>
        <w:snapToGrid w:val="0"/>
        <w:spacing w:line="360" w:lineRule="auto"/>
        <w:ind w:firstLine="480"/>
        <w:rPr>
          <w:rFonts w:eastAsia="等线"/>
          <w:i/>
          <w:color w:val="FF0000"/>
          <w:sz w:val="24"/>
          <w:szCs w:val="24"/>
        </w:rPr>
      </w:pPr>
      <w:r>
        <w:rPr>
          <w:sz w:val="24"/>
          <w:szCs w:val="24"/>
        </w:rPr>
        <w:t>式中：</w:t>
      </w:r>
    </w:p>
    <w:p w14:paraId="7D5A32FC">
      <w:pPr>
        <w:adjustRightInd w:val="0"/>
        <w:snapToGrid w:val="0"/>
        <w:spacing w:line="360" w:lineRule="auto"/>
        <w:ind w:firstLine="1274" w:firstLineChars="531"/>
        <w:jc w:val="left"/>
        <w:rPr>
          <w:sz w:val="24"/>
          <w:szCs w:val="24"/>
        </w:rPr>
      </w:pPr>
      <w:r>
        <w:rPr>
          <w:sz w:val="24"/>
          <w:szCs w:val="24"/>
        </w:rPr>
        <w:t>W—总电能值，kWh；</w:t>
      </w:r>
    </w:p>
    <w:p w14:paraId="0862F672">
      <w:pPr>
        <w:adjustRightInd w:val="0"/>
        <w:snapToGrid w:val="0"/>
        <w:spacing w:line="360" w:lineRule="auto"/>
        <w:ind w:firstLine="1274" w:firstLineChars="531"/>
        <w:jc w:val="left"/>
        <w:rPr>
          <w:sz w:val="24"/>
          <w:szCs w:val="24"/>
        </w:rPr>
      </w:pPr>
      <w:r>
        <w:rPr>
          <w:sz w:val="24"/>
          <w:szCs w:val="24"/>
        </w:rPr>
        <w:t>W</w:t>
      </w:r>
      <w:r>
        <w:rPr>
          <w:i/>
          <w:iCs/>
          <w:sz w:val="24"/>
          <w:szCs w:val="24"/>
          <w:vertAlign w:val="subscript"/>
        </w:rPr>
        <w:t>1</w:t>
      </w:r>
      <w:r>
        <w:rPr>
          <w:rFonts w:hint="eastAsia"/>
          <w:sz w:val="24"/>
          <w:szCs w:val="24"/>
        </w:rPr>
        <w:t>，</w:t>
      </w:r>
      <w:r>
        <w:rPr>
          <w:sz w:val="24"/>
          <w:szCs w:val="24"/>
        </w:rPr>
        <w:t>W</w:t>
      </w:r>
      <w:r>
        <w:rPr>
          <w:i/>
          <w:iCs/>
          <w:sz w:val="24"/>
          <w:szCs w:val="24"/>
          <w:vertAlign w:val="subscript"/>
        </w:rPr>
        <w:t>2</w:t>
      </w:r>
      <w:r>
        <w:rPr>
          <w:rFonts w:hint="eastAsia"/>
          <w:sz w:val="24"/>
          <w:szCs w:val="24"/>
        </w:rPr>
        <w:t>，</w:t>
      </w:r>
      <w:r>
        <w:rPr>
          <w:sz w:val="24"/>
          <w:szCs w:val="24"/>
        </w:rPr>
        <w:t>…</w:t>
      </w:r>
      <w:r>
        <w:rPr>
          <w:rFonts w:hint="eastAsia"/>
          <w:sz w:val="24"/>
          <w:szCs w:val="24"/>
        </w:rPr>
        <w:t>，</w:t>
      </w:r>
      <w:r>
        <w:rPr>
          <w:sz w:val="24"/>
          <w:szCs w:val="24"/>
        </w:rPr>
        <w:t>W</w:t>
      </w:r>
      <w:r>
        <w:rPr>
          <w:i/>
          <w:iCs/>
          <w:sz w:val="24"/>
          <w:szCs w:val="24"/>
          <w:vertAlign w:val="subscript"/>
        </w:rPr>
        <w:t>n</w:t>
      </w:r>
      <w:r>
        <w:rPr>
          <w:rFonts w:hint="eastAsia"/>
          <w:i/>
          <w:iCs/>
          <w:sz w:val="24"/>
          <w:szCs w:val="24"/>
          <w:vertAlign w:val="subscript"/>
        </w:rPr>
        <w:t xml:space="preserve"> </w:t>
      </w:r>
      <w:r>
        <w:rPr>
          <w:sz w:val="24"/>
          <w:szCs w:val="24"/>
        </w:rPr>
        <w:t>—费率1</w:t>
      </w:r>
      <w:r>
        <w:rPr>
          <w:rFonts w:hint="eastAsia"/>
          <w:sz w:val="24"/>
          <w:szCs w:val="24"/>
        </w:rPr>
        <w:t>，</w:t>
      </w:r>
      <w:r>
        <w:rPr>
          <w:sz w:val="24"/>
          <w:szCs w:val="24"/>
        </w:rPr>
        <w:t>2</w:t>
      </w:r>
      <w:r>
        <w:rPr>
          <w:rFonts w:hint="eastAsia"/>
          <w:sz w:val="24"/>
          <w:szCs w:val="24"/>
        </w:rPr>
        <w:t>，</w:t>
      </w:r>
      <w:r>
        <w:rPr>
          <w:sz w:val="24"/>
          <w:szCs w:val="24"/>
        </w:rPr>
        <w:t>…</w:t>
      </w:r>
      <w:r>
        <w:rPr>
          <w:rFonts w:hint="eastAsia"/>
          <w:sz w:val="24"/>
          <w:szCs w:val="24"/>
        </w:rPr>
        <w:t>，</w:t>
      </w:r>
      <w:r>
        <w:rPr>
          <w:i/>
          <w:iCs/>
          <w:sz w:val="24"/>
          <w:szCs w:val="24"/>
        </w:rPr>
        <w:t>n</w:t>
      </w:r>
      <w:r>
        <w:rPr>
          <w:sz w:val="24"/>
          <w:szCs w:val="24"/>
        </w:rPr>
        <w:t>对应的各费率时段的电能值，kWh</w:t>
      </w:r>
      <w:r>
        <w:rPr>
          <w:rFonts w:hint="eastAsia"/>
          <w:sz w:val="24"/>
          <w:szCs w:val="24"/>
        </w:rPr>
        <w:t>；</w:t>
      </w:r>
    </w:p>
    <w:p w14:paraId="5795217E">
      <w:pPr>
        <w:adjustRightInd w:val="0"/>
        <w:snapToGrid w:val="0"/>
        <w:spacing w:line="360" w:lineRule="auto"/>
        <w:ind w:firstLine="480" w:firstLineChars="200"/>
        <w:jc w:val="left"/>
        <w:rPr>
          <w:color w:val="FF0000"/>
          <w:sz w:val="24"/>
          <w:szCs w:val="24"/>
        </w:rPr>
      </w:pPr>
      <w:r>
        <w:rPr>
          <w:sz w:val="24"/>
          <w:szCs w:val="24"/>
        </w:rPr>
        <w:t>测量仪表总电能与各费率时段的电能和的差值ΔW，试验结果应满足5.6</w:t>
      </w:r>
      <w:r>
        <w:rPr>
          <w:rFonts w:hint="eastAsia"/>
          <w:sz w:val="24"/>
          <w:szCs w:val="24"/>
        </w:rPr>
        <w:t>条款</w:t>
      </w:r>
      <w:r>
        <w:rPr>
          <w:sz w:val="24"/>
          <w:szCs w:val="24"/>
        </w:rPr>
        <w:t>要求。</w:t>
      </w:r>
    </w:p>
    <w:p w14:paraId="390874D2">
      <w:pPr>
        <w:pStyle w:val="43"/>
        <w:numPr>
          <w:ilvl w:val="0"/>
          <w:numId w:val="0"/>
        </w:numPr>
        <w:spacing w:line="360" w:lineRule="auto"/>
        <w:rPr>
          <w:rFonts w:eastAsia="宋体" w:cs="Times New Roman"/>
        </w:rPr>
      </w:pPr>
      <w:r>
        <w:rPr>
          <w:rFonts w:eastAsia="宋体" w:cs="Times New Roman"/>
        </w:rPr>
        <w:t>7.4.</w:t>
      </w:r>
      <w:r>
        <w:rPr>
          <w:rFonts w:hint="eastAsia" w:eastAsia="宋体" w:cs="Times New Roman"/>
        </w:rPr>
        <w:t>10  负载电流升降变差试验</w:t>
      </w:r>
    </w:p>
    <w:p w14:paraId="6EE0F921">
      <w:pPr>
        <w:adjustRightInd w:val="0"/>
        <w:snapToGrid w:val="0"/>
        <w:spacing w:line="360" w:lineRule="auto"/>
        <w:ind w:firstLine="480" w:firstLineChars="200"/>
        <w:rPr>
          <w:sz w:val="24"/>
          <w:szCs w:val="24"/>
        </w:rPr>
      </w:pPr>
      <w:r>
        <w:rPr>
          <w:sz w:val="24"/>
          <w:szCs w:val="24"/>
        </w:rPr>
        <w:t>辅助电源（如有）线路施加规定的电压值；电压电路施加标称电压，若电能表具有多个标称电压值，应分别在每个标称电压下试验，若电能表具有标称电压范围，试验点应至少包含</w:t>
      </w:r>
      <w:r>
        <w:rPr>
          <w:i/>
          <w:iCs/>
          <w:sz w:val="24"/>
          <w:szCs w:val="24"/>
        </w:rPr>
        <w:t>U</w:t>
      </w:r>
      <w:r>
        <w:rPr>
          <w:sz w:val="24"/>
          <w:szCs w:val="24"/>
          <w:vertAlign w:val="subscript"/>
        </w:rPr>
        <w:t>n_min</w:t>
      </w:r>
      <w:r>
        <w:rPr>
          <w:sz w:val="24"/>
          <w:szCs w:val="24"/>
        </w:rPr>
        <w:t>和</w:t>
      </w:r>
      <w:r>
        <w:rPr>
          <w:i/>
          <w:iCs/>
          <w:sz w:val="24"/>
          <w:szCs w:val="24"/>
        </w:rPr>
        <w:t>U</w:t>
      </w:r>
      <w:r>
        <w:rPr>
          <w:sz w:val="24"/>
          <w:szCs w:val="24"/>
          <w:vertAlign w:val="subscript"/>
        </w:rPr>
        <w:t>n_max</w:t>
      </w:r>
      <w:r>
        <w:rPr>
          <w:sz w:val="24"/>
          <w:szCs w:val="24"/>
        </w:rPr>
        <w:t>；被测试验信号还应在参比条件下保持恒定；强制试验点的试验电流为</w:t>
      </w:r>
      <w:r>
        <w:rPr>
          <w:i/>
          <w:iCs/>
          <w:sz w:val="24"/>
          <w:szCs w:val="24"/>
        </w:rPr>
        <w:t>I</w:t>
      </w:r>
      <w:r>
        <w:rPr>
          <w:sz w:val="24"/>
          <w:szCs w:val="24"/>
          <w:vertAlign w:val="subscript"/>
        </w:rPr>
        <w:t>min</w:t>
      </w:r>
      <w:r>
        <w:rPr>
          <w:sz w:val="24"/>
          <w:szCs w:val="24"/>
        </w:rPr>
        <w:t>、</w:t>
      </w:r>
      <w:r>
        <w:rPr>
          <w:i/>
          <w:iCs/>
          <w:sz w:val="24"/>
          <w:szCs w:val="24"/>
        </w:rPr>
        <w:t>I</w:t>
      </w:r>
      <w:r>
        <w:rPr>
          <w:sz w:val="24"/>
          <w:szCs w:val="24"/>
          <w:vertAlign w:val="subscript"/>
        </w:rPr>
        <w:t>n</w:t>
      </w:r>
      <w:r>
        <w:rPr>
          <w:sz w:val="24"/>
          <w:szCs w:val="24"/>
        </w:rPr>
        <w:t>、</w:t>
      </w:r>
      <w:r>
        <w:rPr>
          <w:i/>
          <w:iCs/>
          <w:sz w:val="24"/>
          <w:szCs w:val="24"/>
        </w:rPr>
        <w:t>I</w:t>
      </w:r>
      <w:r>
        <w:rPr>
          <w:sz w:val="24"/>
          <w:szCs w:val="24"/>
          <w:vertAlign w:val="subscript"/>
        </w:rPr>
        <w:t>max</w:t>
      </w:r>
      <w:r>
        <w:rPr>
          <w:sz w:val="24"/>
          <w:szCs w:val="24"/>
        </w:rPr>
        <w:t>。</w:t>
      </w:r>
    </w:p>
    <w:p w14:paraId="0F5598FA">
      <w:pPr>
        <w:adjustRightInd w:val="0"/>
        <w:snapToGrid w:val="0"/>
        <w:spacing w:line="360" w:lineRule="auto"/>
        <w:ind w:firstLine="480" w:firstLineChars="200"/>
        <w:rPr>
          <w:sz w:val="24"/>
          <w:szCs w:val="24"/>
        </w:rPr>
      </w:pPr>
      <w:r>
        <w:rPr>
          <w:sz w:val="24"/>
          <w:szCs w:val="24"/>
        </w:rPr>
        <w:t>被试电能表按照强制试验点规定的试验电流从</w:t>
      </w:r>
      <w:r>
        <w:rPr>
          <w:i/>
          <w:iCs/>
          <w:sz w:val="24"/>
          <w:szCs w:val="24"/>
        </w:rPr>
        <w:t>I</w:t>
      </w:r>
      <w:r>
        <w:rPr>
          <w:sz w:val="24"/>
          <w:szCs w:val="24"/>
          <w:vertAlign w:val="subscript"/>
        </w:rPr>
        <w:t>min</w:t>
      </w:r>
      <w:r>
        <w:rPr>
          <w:sz w:val="24"/>
          <w:szCs w:val="24"/>
        </w:rPr>
        <w:t>到</w:t>
      </w:r>
      <w:r>
        <w:rPr>
          <w:i/>
          <w:iCs/>
          <w:sz w:val="24"/>
          <w:szCs w:val="24"/>
        </w:rPr>
        <w:t>I</w:t>
      </w:r>
      <w:r>
        <w:rPr>
          <w:sz w:val="24"/>
          <w:szCs w:val="24"/>
          <w:vertAlign w:val="subscript"/>
        </w:rPr>
        <w:t>max</w:t>
      </w:r>
      <w:r>
        <w:rPr>
          <w:sz w:val="24"/>
          <w:szCs w:val="24"/>
        </w:rPr>
        <w:t>的顺序进行首次误差测试，记录各试验点的误差</w:t>
      </w:r>
      <w:r>
        <w:rPr>
          <w:rFonts w:hint="eastAsia"/>
          <w:sz w:val="24"/>
          <w:szCs w:val="24"/>
        </w:rPr>
        <w:t>；</w:t>
      </w:r>
      <w:r>
        <w:rPr>
          <w:sz w:val="24"/>
          <w:szCs w:val="24"/>
        </w:rPr>
        <w:t>试验电流在</w:t>
      </w:r>
      <w:r>
        <w:rPr>
          <w:i/>
          <w:iCs/>
          <w:sz w:val="24"/>
          <w:szCs w:val="24"/>
        </w:rPr>
        <w:t>I</w:t>
      </w:r>
      <w:r>
        <w:rPr>
          <w:sz w:val="24"/>
          <w:szCs w:val="24"/>
          <w:vertAlign w:val="subscript"/>
        </w:rPr>
        <w:t>max</w:t>
      </w:r>
      <w:r>
        <w:rPr>
          <w:sz w:val="24"/>
          <w:szCs w:val="24"/>
        </w:rPr>
        <w:t>点保持2 min后，再按照强制试验点规定的试验电流从</w:t>
      </w:r>
      <w:r>
        <w:rPr>
          <w:i/>
          <w:iCs/>
          <w:sz w:val="24"/>
          <w:szCs w:val="24"/>
        </w:rPr>
        <w:t>I</w:t>
      </w:r>
      <w:r>
        <w:rPr>
          <w:sz w:val="24"/>
          <w:szCs w:val="24"/>
          <w:vertAlign w:val="subscript"/>
        </w:rPr>
        <w:t>max</w:t>
      </w:r>
      <w:r>
        <w:rPr>
          <w:sz w:val="24"/>
          <w:szCs w:val="24"/>
        </w:rPr>
        <w:t>到</w:t>
      </w:r>
      <w:r>
        <w:rPr>
          <w:i/>
          <w:iCs/>
          <w:sz w:val="24"/>
          <w:szCs w:val="24"/>
        </w:rPr>
        <w:t>I</w:t>
      </w:r>
      <w:r>
        <w:rPr>
          <w:sz w:val="24"/>
          <w:szCs w:val="24"/>
          <w:vertAlign w:val="subscript"/>
        </w:rPr>
        <w:t>min</w:t>
      </w:r>
      <w:r>
        <w:rPr>
          <w:sz w:val="24"/>
          <w:szCs w:val="24"/>
        </w:rPr>
        <w:t>的顺序进行第二次误差测试，记录各相同电流试验点的误差，并计算误差差值的绝对值。</w:t>
      </w:r>
    </w:p>
    <w:p w14:paraId="14767741">
      <w:pPr>
        <w:adjustRightInd w:val="0"/>
        <w:snapToGrid w:val="0"/>
        <w:spacing w:line="360" w:lineRule="auto"/>
        <w:ind w:firstLine="480" w:firstLineChars="200"/>
        <w:rPr>
          <w:sz w:val="24"/>
          <w:szCs w:val="24"/>
        </w:rPr>
      </w:pPr>
      <w:r>
        <w:rPr>
          <w:sz w:val="24"/>
          <w:szCs w:val="24"/>
        </w:rPr>
        <w:t>试验结果应符合本文件5.7的要求。</w:t>
      </w:r>
    </w:p>
    <w:p w14:paraId="27464EF9">
      <w:pPr>
        <w:pStyle w:val="3"/>
        <w:rPr>
          <w:rFonts w:ascii="Times New Roman" w:hAnsi="Times New Roman"/>
        </w:rPr>
      </w:pPr>
      <w:bookmarkStart w:id="70" w:name="_Toc209090353"/>
      <w:bookmarkStart w:id="71" w:name="_Toc298163492"/>
      <w:r>
        <w:rPr>
          <w:rFonts w:ascii="Times New Roman" w:hAnsi="Times New Roman"/>
        </w:rPr>
        <w:t>7.5</w:t>
      </w:r>
      <w:r>
        <w:rPr>
          <w:rFonts w:hint="eastAsia" w:ascii="Times New Roman" w:hAnsi="Times New Roman"/>
        </w:rPr>
        <w:t xml:space="preserve">  </w:t>
      </w:r>
      <w:r>
        <w:rPr>
          <w:rFonts w:ascii="Times New Roman" w:hAnsi="Times New Roman"/>
        </w:rPr>
        <w:t>检定结果的处理</w:t>
      </w:r>
      <w:bookmarkEnd w:id="70"/>
      <w:bookmarkEnd w:id="71"/>
    </w:p>
    <w:p w14:paraId="4F507295">
      <w:pPr>
        <w:rPr>
          <w:sz w:val="24"/>
          <w:szCs w:val="24"/>
        </w:rPr>
      </w:pPr>
      <w:r>
        <w:rPr>
          <w:sz w:val="24"/>
          <w:szCs w:val="24"/>
        </w:rPr>
        <w:t>7.5.1</w:t>
      </w:r>
      <w:r>
        <w:rPr>
          <w:rFonts w:hint="eastAsia"/>
          <w:sz w:val="24"/>
          <w:szCs w:val="24"/>
        </w:rPr>
        <w:t xml:space="preserve">  </w:t>
      </w:r>
      <w:r>
        <w:rPr>
          <w:sz w:val="24"/>
          <w:szCs w:val="24"/>
        </w:rPr>
        <w:t>测量数据修约</w:t>
      </w:r>
    </w:p>
    <w:p w14:paraId="5C48ACF2">
      <w:pPr>
        <w:spacing w:line="360" w:lineRule="auto"/>
        <w:ind w:firstLine="435"/>
        <w:rPr>
          <w:sz w:val="24"/>
        </w:rPr>
      </w:pPr>
      <w:r>
        <w:rPr>
          <w:sz w:val="24"/>
        </w:rPr>
        <w:t>按表1</w:t>
      </w:r>
      <w:r>
        <w:rPr>
          <w:rFonts w:hint="eastAsia"/>
          <w:sz w:val="24"/>
        </w:rPr>
        <w:t>0</w:t>
      </w:r>
      <w:r>
        <w:rPr>
          <w:sz w:val="24"/>
        </w:rPr>
        <w:t>规定，将电能表相对误差修约为修约间距的整数倍。</w:t>
      </w:r>
    </w:p>
    <w:p w14:paraId="6B1FB28D">
      <w:pPr>
        <w:ind w:firstLine="630" w:firstLineChars="300"/>
        <w:jc w:val="center"/>
        <w:rPr>
          <w:rFonts w:hint="eastAsia" w:ascii="黑体" w:hAnsi="宋体" w:eastAsia="黑体"/>
          <w:b/>
        </w:rPr>
      </w:pPr>
      <w:r>
        <w:rPr>
          <w:rFonts w:hint="eastAsia" w:ascii="黑体" w:hAnsi="宋体" w:eastAsia="黑体"/>
          <w:b/>
        </w:rPr>
        <w:t>表</w:t>
      </w:r>
      <w:r>
        <w:rPr>
          <w:rFonts w:hint="eastAsia" w:eastAsia="黑体"/>
          <w:b/>
        </w:rPr>
        <w:t>10</w:t>
      </w:r>
      <w:r>
        <w:rPr>
          <w:rFonts w:hint="eastAsia" w:ascii="黑体" w:hAnsi="宋体" w:eastAsia="黑体"/>
          <w:b/>
        </w:rPr>
        <w:t xml:space="preserve">  </w:t>
      </w:r>
      <w:r>
        <w:rPr>
          <w:rFonts w:hint="eastAsia" w:ascii="黑体" w:hAnsi="宋体" w:eastAsia="黑体"/>
          <w:b/>
          <w:spacing w:val="20"/>
        </w:rPr>
        <w:t>相对误差修约间距</w:t>
      </w:r>
    </w:p>
    <w:tbl>
      <w:tblPr>
        <w:tblStyle w:val="33"/>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020"/>
        <w:gridCol w:w="1903"/>
        <w:gridCol w:w="1880"/>
        <w:gridCol w:w="1767"/>
      </w:tblGrid>
      <w:tr w14:paraId="269026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01" w:type="pct"/>
            <w:vAlign w:val="center"/>
          </w:tcPr>
          <w:p w14:paraId="3A11C7FB">
            <w:pPr>
              <w:jc w:val="center"/>
            </w:pPr>
            <w:r>
              <w:t>电能表准确度等级</w:t>
            </w:r>
          </w:p>
        </w:tc>
        <w:tc>
          <w:tcPr>
            <w:tcW w:w="994" w:type="pct"/>
            <w:vAlign w:val="center"/>
          </w:tcPr>
          <w:p w14:paraId="5731AC4B">
            <w:pPr>
              <w:jc w:val="center"/>
            </w:pPr>
            <w:r>
              <w:t>0.2</w:t>
            </w:r>
          </w:p>
        </w:tc>
        <w:tc>
          <w:tcPr>
            <w:tcW w:w="982" w:type="pct"/>
            <w:vAlign w:val="center"/>
          </w:tcPr>
          <w:p w14:paraId="27AB975C">
            <w:pPr>
              <w:jc w:val="center"/>
            </w:pPr>
            <w:r>
              <w:t>0.5</w:t>
            </w:r>
          </w:p>
        </w:tc>
        <w:tc>
          <w:tcPr>
            <w:tcW w:w="924" w:type="pct"/>
            <w:vAlign w:val="center"/>
          </w:tcPr>
          <w:p w14:paraId="7CDA5D4A">
            <w:pPr>
              <w:jc w:val="center"/>
            </w:pPr>
            <w:r>
              <w:t>1</w:t>
            </w:r>
          </w:p>
        </w:tc>
      </w:tr>
      <w:tr w14:paraId="25373A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01" w:type="pct"/>
            <w:vAlign w:val="center"/>
          </w:tcPr>
          <w:p w14:paraId="032AF170">
            <w:pPr>
              <w:jc w:val="center"/>
            </w:pPr>
            <w:r>
              <w:t>修约间距/%</w:t>
            </w:r>
          </w:p>
        </w:tc>
        <w:tc>
          <w:tcPr>
            <w:tcW w:w="994" w:type="pct"/>
            <w:vAlign w:val="center"/>
          </w:tcPr>
          <w:p w14:paraId="217D01D3">
            <w:pPr>
              <w:jc w:val="center"/>
            </w:pPr>
            <w:r>
              <w:t>0.02</w:t>
            </w:r>
          </w:p>
        </w:tc>
        <w:tc>
          <w:tcPr>
            <w:tcW w:w="982" w:type="pct"/>
            <w:vAlign w:val="center"/>
          </w:tcPr>
          <w:p w14:paraId="53BBAE9B">
            <w:pPr>
              <w:jc w:val="center"/>
            </w:pPr>
            <w:r>
              <w:t>0.05</w:t>
            </w:r>
          </w:p>
        </w:tc>
        <w:tc>
          <w:tcPr>
            <w:tcW w:w="924" w:type="pct"/>
            <w:vAlign w:val="center"/>
          </w:tcPr>
          <w:p w14:paraId="62264E91">
            <w:pPr>
              <w:jc w:val="center"/>
            </w:pPr>
            <w:r>
              <w:t>0.1</w:t>
            </w:r>
          </w:p>
        </w:tc>
      </w:tr>
    </w:tbl>
    <w:p w14:paraId="183DC47F">
      <w:pPr>
        <w:spacing w:line="360" w:lineRule="auto"/>
        <w:ind w:firstLine="437"/>
        <w:rPr>
          <w:rFonts w:hint="eastAsia" w:ascii="宋体" w:hAnsi="宋体"/>
          <w:sz w:val="24"/>
        </w:rPr>
      </w:pPr>
      <w:r>
        <w:rPr>
          <w:rFonts w:hint="eastAsia" w:ascii="宋体" w:hAnsi="宋体"/>
          <w:sz w:val="24"/>
        </w:rPr>
        <w:t>判断电能表相对误差是否超过表1规定，一律以修约后的结果为准。</w:t>
      </w:r>
    </w:p>
    <w:p w14:paraId="14A7EDAB">
      <w:pPr>
        <w:spacing w:line="360" w:lineRule="auto"/>
        <w:ind w:firstLine="437"/>
        <w:rPr>
          <w:sz w:val="24"/>
        </w:rPr>
      </w:pPr>
      <w:r>
        <w:rPr>
          <w:sz w:val="24"/>
        </w:rPr>
        <w:t>日计时误差的化整间距为0.01 s/d</w:t>
      </w:r>
      <w:r>
        <w:rPr>
          <w:rFonts w:hint="eastAsia"/>
          <w:sz w:val="24"/>
        </w:rPr>
        <w:t>，时间（时刻）示值误差的修约间距为 1s。</w:t>
      </w:r>
      <w:r>
        <w:rPr>
          <w:sz w:val="24"/>
        </w:rPr>
        <w:t xml:space="preserve"> </w:t>
      </w:r>
    </w:p>
    <w:p w14:paraId="09556F13">
      <w:pPr>
        <w:rPr>
          <w:sz w:val="24"/>
          <w:szCs w:val="24"/>
        </w:rPr>
      </w:pPr>
      <w:r>
        <w:rPr>
          <w:sz w:val="24"/>
          <w:szCs w:val="24"/>
        </w:rPr>
        <w:t>7.5.2</w:t>
      </w:r>
      <w:r>
        <w:rPr>
          <w:rFonts w:hint="eastAsia"/>
          <w:sz w:val="24"/>
          <w:szCs w:val="24"/>
        </w:rPr>
        <w:t xml:space="preserve">  </w:t>
      </w:r>
      <w:r>
        <w:rPr>
          <w:sz w:val="24"/>
          <w:szCs w:val="24"/>
        </w:rPr>
        <w:t>检定证书</w:t>
      </w:r>
    </w:p>
    <w:p w14:paraId="2D92D6FD">
      <w:pPr>
        <w:spacing w:line="360" w:lineRule="auto"/>
        <w:ind w:firstLine="435"/>
        <w:rPr>
          <w:sz w:val="24"/>
        </w:rPr>
      </w:pPr>
      <w:r>
        <w:rPr>
          <w:sz w:val="24"/>
        </w:rPr>
        <w:t>检定合格的电能表，出具检定证书或检定合格证，由检定单位在电能表上加上封印或加注检定合格标记；检定不合格的电能表发给检定结果通知书，并注销原检定合格封印或检定合格标记。</w:t>
      </w:r>
    </w:p>
    <w:p w14:paraId="754E6C64">
      <w:pPr>
        <w:pStyle w:val="3"/>
        <w:rPr>
          <w:rFonts w:ascii="Times New Roman" w:hAnsi="Times New Roman"/>
        </w:rPr>
      </w:pPr>
      <w:bookmarkStart w:id="72" w:name="_Toc209090354"/>
      <w:r>
        <w:rPr>
          <w:rFonts w:ascii="Times New Roman" w:hAnsi="Times New Roman"/>
        </w:rPr>
        <w:t>7.6</w:t>
      </w:r>
      <w:r>
        <w:rPr>
          <w:rFonts w:hint="eastAsia" w:ascii="Times New Roman" w:hAnsi="Times New Roman"/>
        </w:rPr>
        <w:t xml:space="preserve">  </w:t>
      </w:r>
      <w:r>
        <w:rPr>
          <w:rFonts w:ascii="Times New Roman" w:hAnsi="Times New Roman"/>
        </w:rPr>
        <w:t>检定周期</w:t>
      </w:r>
      <w:bookmarkEnd w:id="72"/>
    </w:p>
    <w:p w14:paraId="5CA13947">
      <w:pPr>
        <w:spacing w:line="360" w:lineRule="auto"/>
        <w:ind w:firstLine="435"/>
        <w:rPr>
          <w:sz w:val="24"/>
        </w:rPr>
      </w:pPr>
      <w:r>
        <w:rPr>
          <w:sz w:val="24"/>
        </w:rPr>
        <w:t>0.2级、0.5级电能表，其检定周期一般不超过</w:t>
      </w:r>
      <w:r>
        <w:rPr>
          <w:rFonts w:hint="eastAsia"/>
          <w:sz w:val="24"/>
        </w:rPr>
        <w:t>8</w:t>
      </w:r>
      <w:r>
        <w:rPr>
          <w:sz w:val="24"/>
        </w:rPr>
        <w:t>年，1级电能表，其检定周期一般不超过</w:t>
      </w:r>
      <w:r>
        <w:rPr>
          <w:rFonts w:hint="eastAsia"/>
          <w:sz w:val="24"/>
        </w:rPr>
        <w:t>10</w:t>
      </w:r>
      <w:r>
        <w:rPr>
          <w:sz w:val="24"/>
        </w:rPr>
        <w:t>年。</w:t>
      </w:r>
    </w:p>
    <w:p w14:paraId="301F49DC">
      <w:pPr>
        <w:outlineLvl w:val="0"/>
        <w:rPr>
          <w:rFonts w:eastAsia="黑体"/>
          <w:sz w:val="28"/>
        </w:rPr>
      </w:pPr>
      <w:bookmarkStart w:id="73" w:name="_Toc209090355"/>
      <w:r>
        <w:rPr>
          <w:rFonts w:ascii="宋体" w:hAnsi="宋体"/>
          <w:b/>
          <w:bCs/>
          <w:sz w:val="24"/>
        </w:rPr>
        <mc:AlternateContent>
          <mc:Choice Requires="wps">
            <w:drawing>
              <wp:anchor distT="0" distB="0" distL="114300" distR="114300" simplePos="0" relativeHeight="251662336" behindDoc="0" locked="0" layoutInCell="1" allowOverlap="1">
                <wp:simplePos x="0" y="0"/>
                <wp:positionH relativeFrom="column">
                  <wp:posOffset>2008505</wp:posOffset>
                </wp:positionH>
                <wp:positionV relativeFrom="paragraph">
                  <wp:posOffset>7070725</wp:posOffset>
                </wp:positionV>
                <wp:extent cx="1714500" cy="0"/>
                <wp:effectExtent l="13335" t="18415" r="15240" b="10160"/>
                <wp:wrapNone/>
                <wp:docPr id="1910414269" name="Line 2870"/>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19050">
                          <a:solidFill>
                            <a:srgbClr val="000000"/>
                          </a:solidFill>
                          <a:round/>
                        </a:ln>
                      </wps:spPr>
                      <wps:bodyPr/>
                    </wps:wsp>
                  </a:graphicData>
                </a:graphic>
              </wp:anchor>
            </w:drawing>
          </mc:Choice>
          <mc:Fallback>
            <w:pict>
              <v:line id="Line 2870" o:spid="_x0000_s1026" o:spt="20" style="position:absolute;left:0pt;margin-left:158.15pt;margin-top:556.75pt;height:0pt;width:135pt;z-index:251662336;mso-width-relative:page;mso-height-relative:page;" filled="f" stroked="t" coordsize="21600,21600" o:gfxdata="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gx2ZnNYAAAANAQAADwAAAAAAAAABACAAAAAi&#10;AAAAZHJzL2Rvd25yZXYueG1sUEsBAhQAFAAAAAgAh07iQGzZe1LTAQAArAMAAA4AAAAAAAAAAQAg&#10;AAAAJQEAAGRycy9lMm9Eb2MueG1sUEsFBgAAAAAGAAYAWQEAAGoFAAAAAA==&#10;">
                <v:fill on="f" focussize="0,0"/>
                <v:stroke weight="1.5pt" color="#000000" joinstyle="round"/>
                <v:imagedata o:title=""/>
                <o:lock v:ext="edit" aspectratio="f"/>
              </v:line>
            </w:pict>
          </mc:Fallback>
        </mc:AlternateContent>
      </w:r>
      <w:r>
        <w:rPr>
          <w:rFonts w:ascii="宋体" w:hAnsi="宋体"/>
          <w:b/>
          <w:bCs/>
          <w:sz w:val="24"/>
        </w:rPr>
        <w:br w:type="page"/>
      </w:r>
      <w:bookmarkEnd w:id="67"/>
      <w:bookmarkStart w:id="74" w:name="_Toc416424537"/>
      <w:r>
        <w:rPr>
          <w:rFonts w:eastAsia="黑体"/>
          <w:sz w:val="28"/>
          <w:szCs w:val="28"/>
        </w:rPr>
        <w:t>附录A</w:t>
      </w:r>
      <w:r>
        <w:rPr>
          <w:rFonts w:eastAsia="黑体"/>
          <w:sz w:val="28"/>
        </w:rPr>
        <w:t>检定接线图</w:t>
      </w:r>
      <w:bookmarkEnd w:id="73"/>
      <w:bookmarkEnd w:id="74"/>
    </w:p>
    <w:p w14:paraId="3B615A6F">
      <w:pPr>
        <w:jc w:val="center"/>
        <w:rPr>
          <w:rFonts w:hint="eastAsia" w:ascii="宋体" w:hAnsi="宋体"/>
          <w:sz w:val="24"/>
        </w:rPr>
      </w:pPr>
      <w:r>
        <w:rPr>
          <w:rFonts w:ascii="宋体" w:hAnsi="宋体"/>
          <w:sz w:val="24"/>
        </w:rPr>
        <w:object>
          <v:shape id="_x0000_i1091" o:spt="75" type="#_x0000_t75" style="height:150.65pt;width:211.4pt;" o:ole="t" filled="f" o:preferrelative="t" stroked="f" coordsize="21600,21600">
            <v:path/>
            <v:fill on="f" focussize="0,0"/>
            <v:stroke on="f" joinstyle="miter"/>
            <v:imagedata r:id="rId135" o:title=""/>
            <o:lock v:ext="edit" aspectratio="t"/>
            <w10:wrap type="none"/>
            <w10:anchorlock/>
          </v:shape>
          <o:OLEObject Type="Embed" ProgID="Visio.Drawing.11" ShapeID="_x0000_i1091" DrawAspect="Content" ObjectID="_1468075787" r:id="rId134">
            <o:LockedField>false</o:LockedField>
          </o:OLEObject>
        </w:object>
      </w:r>
    </w:p>
    <w:p w14:paraId="20D7222D">
      <w:pPr>
        <w:jc w:val="center"/>
      </w:pPr>
      <w:r>
        <w:t>图A.1 检定电子式直流电能表的接线图（直接接入式）</w:t>
      </w:r>
    </w:p>
    <w:p w14:paraId="7846E79E">
      <w:pPr>
        <w:jc w:val="center"/>
        <w:rPr>
          <w:rFonts w:hint="eastAsia" w:ascii="宋体" w:hAnsi="宋体"/>
        </w:rPr>
      </w:pPr>
      <w:r>
        <w:rPr>
          <w:rFonts w:ascii="宋体" w:hAnsi="宋体"/>
        </w:rPr>
        <w:object>
          <v:shape id="_x0000_i1092" o:spt="75" type="#_x0000_t75" style="height:168.15pt;width:248.45pt;" o:ole="t" filled="f" o:preferrelative="t" stroked="f" coordsize="21600,21600">
            <v:path/>
            <v:fill on="f" focussize="0,0"/>
            <v:stroke on="f" joinstyle="miter"/>
            <v:imagedata r:id="rId137" o:title=""/>
            <o:lock v:ext="edit" aspectratio="t"/>
            <w10:wrap type="none"/>
            <w10:anchorlock/>
          </v:shape>
          <o:OLEObject Type="Embed" ProgID="Visio.Drawing.11" ShapeID="_x0000_i1092" DrawAspect="Content" ObjectID="_1468075788" r:id="rId136">
            <o:LockedField>false</o:LockedField>
          </o:OLEObject>
        </w:object>
      </w:r>
    </w:p>
    <w:p w14:paraId="53309F58">
      <w:pPr>
        <w:jc w:val="center"/>
      </w:pPr>
      <w:r>
        <w:t>图A.2 检定电子式直流电能表的接线图（电压型间接接入式）</w:t>
      </w:r>
    </w:p>
    <w:p w14:paraId="0B5DD20E">
      <w:pPr>
        <w:jc w:val="center"/>
        <w:rPr>
          <w:rFonts w:hint="eastAsia" w:ascii="宋体" w:hAnsi="宋体"/>
        </w:rPr>
      </w:pPr>
      <w:r>
        <w:rPr>
          <w:rFonts w:ascii="宋体" w:hAnsi="宋体"/>
          <w:sz w:val="24"/>
        </w:rPr>
        <w:object>
          <v:shape id="_x0000_i1093" o:spt="75" type="#_x0000_t75" style="height:162.3pt;width:229.75pt;" o:ole="t" filled="f" o:preferrelative="t" stroked="f" coordsize="21600,21600">
            <v:path/>
            <v:fill on="f" focussize="0,0"/>
            <v:stroke on="f" joinstyle="miter"/>
            <v:imagedata r:id="rId139" o:title=""/>
            <o:lock v:ext="edit" aspectratio="t"/>
            <w10:wrap type="none"/>
            <w10:anchorlock/>
          </v:shape>
          <o:OLEObject Type="Embed" ProgID="Visio.Drawing.11" ShapeID="_x0000_i1093" DrawAspect="Content" ObjectID="_1468075789" r:id="rId138">
            <o:LockedField>false</o:LockedField>
          </o:OLEObject>
        </w:object>
      </w:r>
    </w:p>
    <w:p w14:paraId="295029D2">
      <w:pPr>
        <w:jc w:val="center"/>
      </w:pPr>
      <w:r>
        <w:t>图A.3 检定电子式直流电能表的接线图（电流型间接接入式）</w:t>
      </w:r>
      <w:bookmarkStart w:id="75" w:name="_Toc425522801"/>
    </w:p>
    <w:p w14:paraId="407EE1D6">
      <w:pPr>
        <w:ind w:firstLine="420" w:firstLineChars="200"/>
      </w:pPr>
      <w:r>
        <w:t>图A.1至A.3中的符号：</w:t>
      </w:r>
    </w:p>
    <w:p w14:paraId="484EAB56">
      <w:pPr>
        <w:ind w:firstLine="420" w:firstLineChars="200"/>
      </w:pPr>
      <w:r>
        <w:t>kWh—直流电能表； A—直流电流表；mA—直流毫安电流表；V—直流电压表；mV—直流毫伏电压表；W—标准功率表或标准电能表；</w:t>
      </w:r>
      <w:r>
        <w:rPr>
          <w:i/>
        </w:rPr>
        <w:t>u</w:t>
      </w:r>
      <w:r>
        <w:t>—负载电流转化为相应的电压信号；</w:t>
      </w:r>
      <w:r>
        <w:rPr>
          <w:i/>
        </w:rPr>
        <w:t>i</w:t>
      </w:r>
      <w:r>
        <w:t>—负载电流转化为小电流信号；</w:t>
      </w:r>
      <w:r>
        <w:rPr>
          <w:i/>
        </w:rPr>
        <w:t>U</w:t>
      </w:r>
      <w:r>
        <w:t>—负载电压；</w:t>
      </w:r>
      <w:r>
        <w:rPr>
          <w:i/>
        </w:rPr>
        <w:t>I</w:t>
      </w:r>
      <w:r>
        <w:t>—负载电流。</w:t>
      </w:r>
    </w:p>
    <w:p w14:paraId="5542E017">
      <w:pPr>
        <w:spacing w:line="300" w:lineRule="auto"/>
        <w:outlineLvl w:val="0"/>
        <w:rPr>
          <w:rFonts w:eastAsia="黑体"/>
          <w:sz w:val="28"/>
          <w:szCs w:val="28"/>
        </w:rPr>
      </w:pPr>
      <w:bookmarkStart w:id="76" w:name="_Toc209090356"/>
      <w:r>
        <w:rPr>
          <w:rFonts w:eastAsia="黑体"/>
          <w:sz w:val="28"/>
          <w:szCs w:val="28"/>
        </w:rPr>
        <w:t>附录B检定原始记录格式</w:t>
      </w:r>
      <w:bookmarkEnd w:id="76"/>
    </w:p>
    <w:bookmarkEnd w:id="75"/>
    <w:p w14:paraId="364B6F3E">
      <w:pPr>
        <w:snapToGrid w:val="0"/>
        <w:spacing w:before="156" w:beforeLines="50"/>
        <w:ind w:firstLine="2880" w:firstLineChars="900"/>
        <w:rPr>
          <w:rFonts w:eastAsia="黑体"/>
          <w:sz w:val="32"/>
          <w:szCs w:val="32"/>
        </w:rPr>
      </w:pPr>
      <w:r>
        <w:rPr>
          <w:rFonts w:hint="eastAsia" w:eastAsia="黑体"/>
          <w:sz w:val="32"/>
          <w:szCs w:val="32"/>
        </w:rPr>
        <w:t>电子式直流电能表检定原始记录</w:t>
      </w:r>
      <w:r>
        <w:rPr>
          <w:rFonts w:eastAsia="黑体"/>
          <w:sz w:val="32"/>
          <w:szCs w:val="32"/>
        </w:rPr>
        <w:t xml:space="preserve"> </w:t>
      </w:r>
    </w:p>
    <w:p w14:paraId="06F77651">
      <w:pPr>
        <w:snapToGrid w:val="0"/>
        <w:spacing w:before="156" w:beforeLines="50"/>
        <w:ind w:firstLine="3360" w:firstLineChars="1600"/>
      </w:pPr>
      <w:r>
        <w:rPr>
          <w:rFonts w:hint="eastAsia"/>
        </w:rPr>
        <w:t>证书</w:t>
      </w:r>
      <w:r>
        <w:t>编号：</w:t>
      </w:r>
    </w:p>
    <w:p w14:paraId="5E82BE44">
      <w:pPr>
        <w:spacing w:line="300" w:lineRule="auto"/>
        <w:jc w:val="right"/>
        <w:rPr>
          <w:b/>
          <w:sz w:val="24"/>
          <w:szCs w:val="24"/>
        </w:rPr>
      </w:pPr>
    </w:p>
    <w:tbl>
      <w:tblPr>
        <w:tblStyle w:val="33"/>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101"/>
        <w:gridCol w:w="1049"/>
        <w:gridCol w:w="644"/>
        <w:gridCol w:w="769"/>
        <w:gridCol w:w="188"/>
        <w:gridCol w:w="120"/>
        <w:gridCol w:w="999"/>
        <w:gridCol w:w="650"/>
        <w:gridCol w:w="1419"/>
        <w:gridCol w:w="2132"/>
      </w:tblGrid>
      <w:tr w14:paraId="5DBDD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81" w:type="dxa"/>
            <w:gridSpan w:val="11"/>
            <w:vAlign w:val="center"/>
          </w:tcPr>
          <w:p w14:paraId="58CA236C">
            <w:pPr>
              <w:widowControl/>
              <w:tabs>
                <w:tab w:val="left" w:pos="-3024"/>
                <w:tab w:val="left" w:pos="8948"/>
              </w:tabs>
              <w:snapToGrid w:val="0"/>
              <w:spacing w:line="0" w:lineRule="atLeast"/>
              <w:ind w:right="25" w:rightChars="12"/>
              <w:rPr>
                <w:szCs w:val="21"/>
              </w:rPr>
            </w:pPr>
            <w:r>
              <w:rPr>
                <w:rFonts w:hint="eastAsia"/>
                <w:szCs w:val="21"/>
              </w:rPr>
              <w:t>送检计量器具信息：</w:t>
            </w:r>
          </w:p>
        </w:tc>
      </w:tr>
      <w:tr w14:paraId="09A3B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5" w:type="dxa"/>
            <w:gridSpan w:val="2"/>
            <w:vAlign w:val="center"/>
          </w:tcPr>
          <w:p w14:paraId="56B76575">
            <w:pPr>
              <w:adjustRightInd w:val="0"/>
              <w:snapToGrid w:val="0"/>
              <w:rPr>
                <w:szCs w:val="21"/>
              </w:rPr>
            </w:pPr>
            <w:r>
              <w:rPr>
                <w:rFonts w:hint="eastAsia"/>
                <w:szCs w:val="21"/>
              </w:rPr>
              <w:t>委托单号</w:t>
            </w:r>
          </w:p>
        </w:tc>
        <w:tc>
          <w:tcPr>
            <w:tcW w:w="2650" w:type="dxa"/>
            <w:gridSpan w:val="4"/>
            <w:vAlign w:val="center"/>
          </w:tcPr>
          <w:p w14:paraId="54BC1969">
            <w:pPr>
              <w:adjustRightInd w:val="0"/>
              <w:snapToGrid w:val="0"/>
              <w:rPr>
                <w:szCs w:val="21"/>
              </w:rPr>
            </w:pPr>
          </w:p>
        </w:tc>
        <w:tc>
          <w:tcPr>
            <w:tcW w:w="1119" w:type="dxa"/>
            <w:gridSpan w:val="2"/>
            <w:vAlign w:val="center"/>
          </w:tcPr>
          <w:p w14:paraId="4F27BE2A">
            <w:pPr>
              <w:adjustRightInd w:val="0"/>
              <w:snapToGrid w:val="0"/>
              <w:jc w:val="center"/>
              <w:rPr>
                <w:szCs w:val="21"/>
              </w:rPr>
            </w:pPr>
            <w:r>
              <w:rPr>
                <w:rFonts w:hint="eastAsia"/>
                <w:szCs w:val="21"/>
              </w:rPr>
              <w:t>送检单位</w:t>
            </w:r>
          </w:p>
        </w:tc>
        <w:tc>
          <w:tcPr>
            <w:tcW w:w="4197" w:type="dxa"/>
            <w:gridSpan w:val="3"/>
            <w:vAlign w:val="center"/>
          </w:tcPr>
          <w:p w14:paraId="42B7361D">
            <w:pPr>
              <w:adjustRightInd w:val="0"/>
              <w:snapToGrid w:val="0"/>
              <w:rPr>
                <w:szCs w:val="21"/>
              </w:rPr>
            </w:pPr>
          </w:p>
        </w:tc>
      </w:tr>
      <w:tr w14:paraId="7FA1E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5" w:type="dxa"/>
            <w:gridSpan w:val="2"/>
            <w:vAlign w:val="center"/>
          </w:tcPr>
          <w:p w14:paraId="698CA66E">
            <w:pPr>
              <w:adjustRightInd w:val="0"/>
              <w:snapToGrid w:val="0"/>
              <w:rPr>
                <w:szCs w:val="21"/>
              </w:rPr>
            </w:pPr>
            <w:r>
              <w:rPr>
                <w:rFonts w:hint="eastAsia"/>
                <w:szCs w:val="21"/>
              </w:rPr>
              <w:t xml:space="preserve">名 </w:t>
            </w:r>
            <w:r>
              <w:rPr>
                <w:szCs w:val="21"/>
              </w:rPr>
              <w:t xml:space="preserve">   </w:t>
            </w:r>
            <w:r>
              <w:rPr>
                <w:rFonts w:hint="eastAsia"/>
                <w:szCs w:val="21"/>
              </w:rPr>
              <w:t>称</w:t>
            </w:r>
          </w:p>
        </w:tc>
        <w:tc>
          <w:tcPr>
            <w:tcW w:w="2650" w:type="dxa"/>
            <w:gridSpan w:val="4"/>
            <w:vAlign w:val="center"/>
          </w:tcPr>
          <w:p w14:paraId="53D9A8E5">
            <w:pPr>
              <w:adjustRightInd w:val="0"/>
              <w:snapToGrid w:val="0"/>
              <w:rPr>
                <w:szCs w:val="21"/>
              </w:rPr>
            </w:pPr>
          </w:p>
        </w:tc>
        <w:tc>
          <w:tcPr>
            <w:tcW w:w="1119" w:type="dxa"/>
            <w:gridSpan w:val="2"/>
            <w:vAlign w:val="center"/>
          </w:tcPr>
          <w:p w14:paraId="60313859">
            <w:pPr>
              <w:adjustRightInd w:val="0"/>
              <w:snapToGrid w:val="0"/>
              <w:jc w:val="center"/>
              <w:rPr>
                <w:szCs w:val="21"/>
              </w:rPr>
            </w:pPr>
            <w:r>
              <w:rPr>
                <w:rFonts w:hint="eastAsia"/>
                <w:szCs w:val="21"/>
              </w:rPr>
              <w:t>制造单位</w:t>
            </w:r>
          </w:p>
        </w:tc>
        <w:tc>
          <w:tcPr>
            <w:tcW w:w="4197" w:type="dxa"/>
            <w:gridSpan w:val="3"/>
            <w:vAlign w:val="center"/>
          </w:tcPr>
          <w:p w14:paraId="5B4BA265">
            <w:pPr>
              <w:adjustRightInd w:val="0"/>
              <w:snapToGrid w:val="0"/>
              <w:rPr>
                <w:szCs w:val="21"/>
              </w:rPr>
            </w:pPr>
          </w:p>
        </w:tc>
      </w:tr>
      <w:tr w14:paraId="0F18C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5" w:type="dxa"/>
            <w:gridSpan w:val="2"/>
            <w:vAlign w:val="center"/>
          </w:tcPr>
          <w:p w14:paraId="00C3B928">
            <w:pPr>
              <w:adjustRightInd w:val="0"/>
              <w:snapToGrid w:val="0"/>
              <w:rPr>
                <w:szCs w:val="21"/>
              </w:rPr>
            </w:pPr>
            <w:r>
              <w:rPr>
                <w:rFonts w:hint="eastAsia"/>
                <w:szCs w:val="21"/>
              </w:rPr>
              <w:t>型号/规格</w:t>
            </w:r>
          </w:p>
        </w:tc>
        <w:tc>
          <w:tcPr>
            <w:tcW w:w="2650" w:type="dxa"/>
            <w:gridSpan w:val="4"/>
            <w:vAlign w:val="center"/>
          </w:tcPr>
          <w:p w14:paraId="6FA2EB80">
            <w:pPr>
              <w:adjustRightInd w:val="0"/>
              <w:snapToGrid w:val="0"/>
              <w:rPr>
                <w:szCs w:val="21"/>
              </w:rPr>
            </w:pPr>
          </w:p>
        </w:tc>
        <w:tc>
          <w:tcPr>
            <w:tcW w:w="1119" w:type="dxa"/>
            <w:gridSpan w:val="2"/>
            <w:vAlign w:val="center"/>
          </w:tcPr>
          <w:p w14:paraId="583181A4">
            <w:pPr>
              <w:adjustRightInd w:val="0"/>
              <w:snapToGrid w:val="0"/>
              <w:jc w:val="center"/>
              <w:rPr>
                <w:szCs w:val="21"/>
              </w:rPr>
            </w:pPr>
            <w:r>
              <w:rPr>
                <w:rFonts w:hint="eastAsia"/>
                <w:szCs w:val="21"/>
              </w:rPr>
              <w:t>出厂编号</w:t>
            </w:r>
          </w:p>
        </w:tc>
        <w:tc>
          <w:tcPr>
            <w:tcW w:w="4197" w:type="dxa"/>
            <w:gridSpan w:val="3"/>
            <w:vAlign w:val="center"/>
          </w:tcPr>
          <w:p w14:paraId="7E47446B">
            <w:pPr>
              <w:adjustRightInd w:val="0"/>
              <w:snapToGrid w:val="0"/>
              <w:rPr>
                <w:szCs w:val="21"/>
              </w:rPr>
            </w:pPr>
          </w:p>
        </w:tc>
      </w:tr>
      <w:tr w14:paraId="5212F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81" w:type="dxa"/>
            <w:gridSpan w:val="11"/>
            <w:vAlign w:val="center"/>
          </w:tcPr>
          <w:p w14:paraId="4492E2C8">
            <w:pPr>
              <w:widowControl/>
              <w:tabs>
                <w:tab w:val="left" w:pos="-3024"/>
                <w:tab w:val="left" w:pos="8948"/>
              </w:tabs>
              <w:snapToGrid w:val="0"/>
              <w:spacing w:line="0" w:lineRule="atLeast"/>
              <w:ind w:right="25" w:rightChars="12"/>
              <w:rPr>
                <w:szCs w:val="21"/>
              </w:rPr>
            </w:pPr>
            <w:r>
              <w:rPr>
                <w:rFonts w:hint="eastAsia"/>
                <w:szCs w:val="21"/>
              </w:rPr>
              <w:t>检定依据：</w:t>
            </w:r>
          </w:p>
        </w:tc>
      </w:tr>
      <w:tr w14:paraId="46602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81" w:type="dxa"/>
            <w:gridSpan w:val="11"/>
            <w:vAlign w:val="center"/>
          </w:tcPr>
          <w:p w14:paraId="3CA2A351">
            <w:pPr>
              <w:widowControl/>
              <w:tabs>
                <w:tab w:val="left" w:pos="-3024"/>
                <w:tab w:val="left" w:pos="8948"/>
              </w:tabs>
              <w:snapToGrid w:val="0"/>
              <w:spacing w:line="0" w:lineRule="atLeast"/>
              <w:ind w:right="25" w:rightChars="12"/>
              <w:rPr>
                <w:szCs w:val="21"/>
              </w:rPr>
            </w:pPr>
          </w:p>
        </w:tc>
      </w:tr>
      <w:tr w14:paraId="2A26C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81" w:type="dxa"/>
            <w:gridSpan w:val="11"/>
            <w:vAlign w:val="center"/>
          </w:tcPr>
          <w:p w14:paraId="719CDF13">
            <w:pPr>
              <w:widowControl/>
              <w:tabs>
                <w:tab w:val="left" w:pos="-3024"/>
                <w:tab w:val="left" w:pos="8948"/>
              </w:tabs>
              <w:snapToGrid w:val="0"/>
              <w:spacing w:line="0" w:lineRule="atLeast"/>
              <w:ind w:right="25" w:rightChars="12"/>
              <w:rPr>
                <w:szCs w:val="21"/>
              </w:rPr>
            </w:pPr>
            <w:r>
              <w:rPr>
                <w:rFonts w:hint="eastAsia"/>
                <w:szCs w:val="21"/>
              </w:rPr>
              <w:t>检定环境条件及地点：</w:t>
            </w:r>
          </w:p>
        </w:tc>
      </w:tr>
      <w:tr w14:paraId="62851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4" w:type="dxa"/>
            <w:vAlign w:val="center"/>
          </w:tcPr>
          <w:p w14:paraId="2CFF8A5A">
            <w:pPr>
              <w:widowControl/>
              <w:tabs>
                <w:tab w:val="left" w:pos="-3024"/>
                <w:tab w:val="left" w:pos="8948"/>
              </w:tabs>
              <w:snapToGrid w:val="0"/>
              <w:spacing w:line="0" w:lineRule="atLeast"/>
              <w:ind w:right="25" w:rightChars="12"/>
              <w:rPr>
                <w:szCs w:val="21"/>
              </w:rPr>
            </w:pPr>
            <w:r>
              <w:rPr>
                <w:rFonts w:hint="eastAsia"/>
                <w:szCs w:val="21"/>
              </w:rPr>
              <w:t>温    度</w:t>
            </w:r>
          </w:p>
        </w:tc>
        <w:tc>
          <w:tcPr>
            <w:tcW w:w="1794" w:type="dxa"/>
            <w:gridSpan w:val="3"/>
            <w:vAlign w:val="center"/>
          </w:tcPr>
          <w:p w14:paraId="626B667A">
            <w:pPr>
              <w:widowControl/>
              <w:tabs>
                <w:tab w:val="left" w:pos="-3024"/>
                <w:tab w:val="left" w:pos="8948"/>
              </w:tabs>
              <w:snapToGrid w:val="0"/>
              <w:spacing w:line="0" w:lineRule="atLeast"/>
              <w:ind w:right="25" w:rightChars="12" w:firstLine="1155" w:firstLineChars="550"/>
              <w:rPr>
                <w:szCs w:val="21"/>
              </w:rPr>
            </w:pPr>
            <w:r>
              <w:rPr>
                <w:rFonts w:hint="eastAsia" w:hAnsi="宋体"/>
                <w:szCs w:val="21"/>
              </w:rPr>
              <w:t>℃</w:t>
            </w:r>
          </w:p>
        </w:tc>
        <w:tc>
          <w:tcPr>
            <w:tcW w:w="1077" w:type="dxa"/>
            <w:gridSpan w:val="3"/>
            <w:vAlign w:val="center"/>
          </w:tcPr>
          <w:p w14:paraId="4D47309C">
            <w:pPr>
              <w:widowControl/>
              <w:tabs>
                <w:tab w:val="left" w:pos="-3024"/>
                <w:tab w:val="left" w:pos="8948"/>
              </w:tabs>
              <w:snapToGrid w:val="0"/>
              <w:spacing w:line="0" w:lineRule="atLeast"/>
              <w:ind w:right="25" w:rightChars="12"/>
              <w:rPr>
                <w:szCs w:val="21"/>
              </w:rPr>
            </w:pPr>
            <w:r>
              <w:rPr>
                <w:rFonts w:hint="eastAsia"/>
                <w:szCs w:val="21"/>
              </w:rPr>
              <w:t>地   点</w:t>
            </w:r>
          </w:p>
        </w:tc>
        <w:tc>
          <w:tcPr>
            <w:tcW w:w="5200" w:type="dxa"/>
            <w:gridSpan w:val="4"/>
            <w:vAlign w:val="center"/>
          </w:tcPr>
          <w:p w14:paraId="3F20A5CA">
            <w:pPr>
              <w:widowControl/>
              <w:tabs>
                <w:tab w:val="left" w:pos="-3024"/>
                <w:tab w:val="left" w:pos="8948"/>
              </w:tabs>
              <w:snapToGrid w:val="0"/>
              <w:spacing w:line="0" w:lineRule="atLeast"/>
              <w:ind w:right="25" w:rightChars="12"/>
              <w:rPr>
                <w:szCs w:val="21"/>
              </w:rPr>
            </w:pPr>
          </w:p>
        </w:tc>
      </w:tr>
      <w:tr w14:paraId="1081D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4" w:type="dxa"/>
            <w:vAlign w:val="center"/>
          </w:tcPr>
          <w:p w14:paraId="27C6159F">
            <w:pPr>
              <w:widowControl/>
              <w:tabs>
                <w:tab w:val="left" w:pos="-3024"/>
                <w:tab w:val="left" w:pos="8948"/>
              </w:tabs>
              <w:snapToGrid w:val="0"/>
              <w:spacing w:line="0" w:lineRule="atLeast"/>
              <w:ind w:right="25" w:rightChars="12"/>
              <w:rPr>
                <w:szCs w:val="21"/>
              </w:rPr>
            </w:pPr>
            <w:r>
              <w:rPr>
                <w:rFonts w:hint="eastAsia"/>
                <w:szCs w:val="21"/>
              </w:rPr>
              <w:t>相对湿度</w:t>
            </w:r>
          </w:p>
        </w:tc>
        <w:tc>
          <w:tcPr>
            <w:tcW w:w="1794" w:type="dxa"/>
            <w:gridSpan w:val="3"/>
            <w:vAlign w:val="center"/>
          </w:tcPr>
          <w:p w14:paraId="75382B62">
            <w:pPr>
              <w:widowControl/>
              <w:tabs>
                <w:tab w:val="left" w:pos="-3024"/>
                <w:tab w:val="left" w:pos="8948"/>
              </w:tabs>
              <w:snapToGrid w:val="0"/>
              <w:spacing w:line="0" w:lineRule="atLeast"/>
              <w:ind w:right="25" w:rightChars="12" w:firstLine="1260" w:firstLineChars="600"/>
              <w:rPr>
                <w:szCs w:val="21"/>
              </w:rPr>
            </w:pPr>
            <w:r>
              <w:rPr>
                <w:rFonts w:hint="eastAsia"/>
                <w:szCs w:val="21"/>
              </w:rPr>
              <w:t xml:space="preserve">% </w:t>
            </w:r>
          </w:p>
        </w:tc>
        <w:tc>
          <w:tcPr>
            <w:tcW w:w="1077" w:type="dxa"/>
            <w:gridSpan w:val="3"/>
            <w:vAlign w:val="center"/>
          </w:tcPr>
          <w:p w14:paraId="06E53867">
            <w:pPr>
              <w:widowControl/>
              <w:tabs>
                <w:tab w:val="left" w:pos="-3024"/>
                <w:tab w:val="left" w:pos="8948"/>
              </w:tabs>
              <w:snapToGrid w:val="0"/>
              <w:spacing w:line="0" w:lineRule="atLeast"/>
              <w:ind w:right="25" w:rightChars="12"/>
              <w:rPr>
                <w:szCs w:val="21"/>
              </w:rPr>
            </w:pPr>
            <w:r>
              <w:rPr>
                <w:rFonts w:hint="eastAsia"/>
                <w:szCs w:val="21"/>
              </w:rPr>
              <w:t>其   他</w:t>
            </w:r>
          </w:p>
        </w:tc>
        <w:tc>
          <w:tcPr>
            <w:tcW w:w="5200" w:type="dxa"/>
            <w:gridSpan w:val="4"/>
            <w:vAlign w:val="center"/>
          </w:tcPr>
          <w:p w14:paraId="22B18D2E">
            <w:pPr>
              <w:widowControl/>
              <w:tabs>
                <w:tab w:val="left" w:pos="-3024"/>
                <w:tab w:val="left" w:pos="8948"/>
              </w:tabs>
              <w:snapToGrid w:val="0"/>
              <w:spacing w:line="0" w:lineRule="atLeast"/>
              <w:ind w:right="25" w:rightChars="12"/>
              <w:rPr>
                <w:szCs w:val="21"/>
              </w:rPr>
            </w:pPr>
          </w:p>
        </w:tc>
      </w:tr>
      <w:tr w14:paraId="5722F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81" w:type="dxa"/>
            <w:gridSpan w:val="11"/>
            <w:vAlign w:val="center"/>
          </w:tcPr>
          <w:p w14:paraId="5FE108FF">
            <w:pPr>
              <w:rPr>
                <w:szCs w:val="21"/>
              </w:rPr>
            </w:pPr>
            <w:r>
              <w:rPr>
                <w:rFonts w:hint="eastAsia"/>
                <w:szCs w:val="21"/>
              </w:rPr>
              <w:t>检定使用的计量（基）标准装置</w:t>
            </w:r>
          </w:p>
        </w:tc>
      </w:tr>
      <w:tr w14:paraId="2678F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64" w:type="dxa"/>
            <w:gridSpan w:val="3"/>
            <w:vAlign w:val="center"/>
          </w:tcPr>
          <w:p w14:paraId="74190CB0">
            <w:pPr>
              <w:jc w:val="center"/>
              <w:rPr>
                <w:szCs w:val="21"/>
              </w:rPr>
            </w:pPr>
            <w:r>
              <w:rPr>
                <w:rFonts w:hint="eastAsia"/>
                <w:szCs w:val="21"/>
              </w:rPr>
              <w:t>名  称</w:t>
            </w:r>
          </w:p>
        </w:tc>
        <w:tc>
          <w:tcPr>
            <w:tcW w:w="1413" w:type="dxa"/>
            <w:gridSpan w:val="2"/>
            <w:vAlign w:val="center"/>
          </w:tcPr>
          <w:p w14:paraId="0008AC2F">
            <w:pPr>
              <w:jc w:val="center"/>
            </w:pPr>
            <w:r>
              <w:rPr>
                <w:rFonts w:hint="eastAsia"/>
                <w:szCs w:val="21"/>
              </w:rPr>
              <w:t>测量范围</w:t>
            </w:r>
          </w:p>
        </w:tc>
        <w:tc>
          <w:tcPr>
            <w:tcW w:w="1957" w:type="dxa"/>
            <w:gridSpan w:val="4"/>
            <w:vAlign w:val="center"/>
          </w:tcPr>
          <w:p w14:paraId="67C23E72">
            <w:pPr>
              <w:jc w:val="center"/>
              <w:rPr>
                <w:szCs w:val="21"/>
              </w:rPr>
            </w:pPr>
            <w:r>
              <w:rPr>
                <w:rFonts w:hint="eastAsia"/>
                <w:szCs w:val="21"/>
              </w:rPr>
              <w:t>不确定度/准确度等级/最大允许误差</w:t>
            </w:r>
          </w:p>
        </w:tc>
        <w:tc>
          <w:tcPr>
            <w:tcW w:w="1419" w:type="dxa"/>
            <w:vAlign w:val="center"/>
          </w:tcPr>
          <w:p w14:paraId="21E27E2C">
            <w:pPr>
              <w:jc w:val="center"/>
              <w:rPr>
                <w:szCs w:val="21"/>
              </w:rPr>
            </w:pPr>
            <w:r>
              <w:rPr>
                <w:rFonts w:hint="eastAsia"/>
                <w:szCs w:val="21"/>
              </w:rPr>
              <w:t>计量（基）标准证书编号</w:t>
            </w:r>
          </w:p>
        </w:tc>
        <w:tc>
          <w:tcPr>
            <w:tcW w:w="2128" w:type="dxa"/>
            <w:vAlign w:val="center"/>
          </w:tcPr>
          <w:p w14:paraId="090F2E89">
            <w:pPr>
              <w:jc w:val="center"/>
              <w:rPr>
                <w:szCs w:val="21"/>
              </w:rPr>
            </w:pPr>
            <w:r>
              <w:rPr>
                <w:rFonts w:hint="eastAsia"/>
                <w:szCs w:val="21"/>
              </w:rPr>
              <w:t>有效期至</w:t>
            </w:r>
          </w:p>
        </w:tc>
      </w:tr>
      <w:tr w14:paraId="4A6F1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64" w:type="dxa"/>
            <w:gridSpan w:val="3"/>
            <w:vAlign w:val="center"/>
          </w:tcPr>
          <w:p w14:paraId="0A4FDE1A">
            <w:pPr>
              <w:jc w:val="center"/>
              <w:rPr>
                <w:szCs w:val="21"/>
              </w:rPr>
            </w:pPr>
          </w:p>
          <w:p w14:paraId="35085194">
            <w:pPr>
              <w:jc w:val="center"/>
              <w:rPr>
                <w:szCs w:val="21"/>
              </w:rPr>
            </w:pPr>
          </w:p>
          <w:p w14:paraId="1B2E7535">
            <w:pPr>
              <w:jc w:val="center"/>
              <w:rPr>
                <w:szCs w:val="21"/>
              </w:rPr>
            </w:pPr>
          </w:p>
          <w:p w14:paraId="60532EF2">
            <w:pPr>
              <w:jc w:val="center"/>
              <w:rPr>
                <w:szCs w:val="21"/>
              </w:rPr>
            </w:pPr>
          </w:p>
          <w:p w14:paraId="723CD8B2">
            <w:pPr>
              <w:jc w:val="center"/>
              <w:rPr>
                <w:szCs w:val="21"/>
              </w:rPr>
            </w:pPr>
          </w:p>
          <w:p w14:paraId="23521C40">
            <w:pPr>
              <w:jc w:val="center"/>
              <w:rPr>
                <w:szCs w:val="21"/>
              </w:rPr>
            </w:pPr>
          </w:p>
        </w:tc>
        <w:tc>
          <w:tcPr>
            <w:tcW w:w="1413" w:type="dxa"/>
            <w:gridSpan w:val="2"/>
            <w:vAlign w:val="center"/>
          </w:tcPr>
          <w:p w14:paraId="20129932">
            <w:pPr>
              <w:jc w:val="center"/>
              <w:rPr>
                <w:szCs w:val="21"/>
              </w:rPr>
            </w:pPr>
          </w:p>
        </w:tc>
        <w:tc>
          <w:tcPr>
            <w:tcW w:w="1957" w:type="dxa"/>
            <w:gridSpan w:val="4"/>
            <w:vAlign w:val="center"/>
          </w:tcPr>
          <w:p w14:paraId="048BD3C2">
            <w:pPr>
              <w:jc w:val="center"/>
              <w:rPr>
                <w:szCs w:val="21"/>
              </w:rPr>
            </w:pPr>
          </w:p>
        </w:tc>
        <w:tc>
          <w:tcPr>
            <w:tcW w:w="1419" w:type="dxa"/>
            <w:vAlign w:val="center"/>
          </w:tcPr>
          <w:p w14:paraId="03475C9F">
            <w:pPr>
              <w:jc w:val="center"/>
              <w:rPr>
                <w:szCs w:val="21"/>
              </w:rPr>
            </w:pPr>
          </w:p>
        </w:tc>
        <w:tc>
          <w:tcPr>
            <w:tcW w:w="2128" w:type="dxa"/>
            <w:vAlign w:val="center"/>
          </w:tcPr>
          <w:p w14:paraId="63B8FA81">
            <w:pPr>
              <w:jc w:val="center"/>
              <w:rPr>
                <w:szCs w:val="21"/>
              </w:rPr>
            </w:pPr>
          </w:p>
        </w:tc>
      </w:tr>
      <w:tr w14:paraId="61757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81" w:type="dxa"/>
            <w:gridSpan w:val="11"/>
            <w:vAlign w:val="center"/>
          </w:tcPr>
          <w:p w14:paraId="21D0C72B">
            <w:pPr>
              <w:rPr>
                <w:szCs w:val="21"/>
              </w:rPr>
            </w:pPr>
            <w:r>
              <w:rPr>
                <w:rFonts w:hint="eastAsia"/>
                <w:szCs w:val="21"/>
              </w:rPr>
              <w:t>检定使用的标准器</w:t>
            </w:r>
          </w:p>
        </w:tc>
      </w:tr>
      <w:tr w14:paraId="46E5C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64" w:type="dxa"/>
            <w:gridSpan w:val="3"/>
            <w:vAlign w:val="center"/>
          </w:tcPr>
          <w:p w14:paraId="73B305B9">
            <w:pPr>
              <w:jc w:val="center"/>
              <w:rPr>
                <w:szCs w:val="21"/>
              </w:rPr>
            </w:pPr>
            <w:r>
              <w:rPr>
                <w:rFonts w:hint="eastAsia"/>
                <w:szCs w:val="21"/>
              </w:rPr>
              <w:t>名  称</w:t>
            </w:r>
          </w:p>
        </w:tc>
        <w:tc>
          <w:tcPr>
            <w:tcW w:w="1413" w:type="dxa"/>
            <w:gridSpan w:val="2"/>
            <w:vAlign w:val="center"/>
          </w:tcPr>
          <w:p w14:paraId="35EF78A7">
            <w:pPr>
              <w:jc w:val="center"/>
              <w:rPr>
                <w:szCs w:val="21"/>
              </w:rPr>
            </w:pPr>
            <w:r>
              <w:rPr>
                <w:rFonts w:hint="eastAsia"/>
                <w:szCs w:val="21"/>
              </w:rPr>
              <w:t>测量范围</w:t>
            </w:r>
          </w:p>
        </w:tc>
        <w:tc>
          <w:tcPr>
            <w:tcW w:w="1957" w:type="dxa"/>
            <w:gridSpan w:val="4"/>
            <w:vAlign w:val="center"/>
          </w:tcPr>
          <w:p w14:paraId="3EF46E9E">
            <w:pPr>
              <w:jc w:val="center"/>
              <w:rPr>
                <w:szCs w:val="21"/>
              </w:rPr>
            </w:pPr>
            <w:r>
              <w:rPr>
                <w:rFonts w:hint="eastAsia"/>
                <w:szCs w:val="21"/>
              </w:rPr>
              <w:t>不确定度/准确度等级/最大允许误差</w:t>
            </w:r>
          </w:p>
        </w:tc>
        <w:tc>
          <w:tcPr>
            <w:tcW w:w="1419" w:type="dxa"/>
            <w:vAlign w:val="center"/>
          </w:tcPr>
          <w:p w14:paraId="424475F8">
            <w:pPr>
              <w:jc w:val="center"/>
              <w:rPr>
                <w:szCs w:val="21"/>
              </w:rPr>
            </w:pPr>
            <w:r>
              <w:rPr>
                <w:rFonts w:hint="eastAsia"/>
                <w:szCs w:val="21"/>
              </w:rPr>
              <w:t>检定/校准证书编号</w:t>
            </w:r>
          </w:p>
        </w:tc>
        <w:tc>
          <w:tcPr>
            <w:tcW w:w="2128" w:type="dxa"/>
            <w:vAlign w:val="center"/>
          </w:tcPr>
          <w:p w14:paraId="576E8B60">
            <w:pPr>
              <w:jc w:val="center"/>
              <w:rPr>
                <w:szCs w:val="21"/>
              </w:rPr>
            </w:pPr>
            <w:r>
              <w:rPr>
                <w:rFonts w:hint="eastAsia"/>
                <w:szCs w:val="21"/>
              </w:rPr>
              <w:t>有效期至</w:t>
            </w:r>
          </w:p>
        </w:tc>
      </w:tr>
      <w:tr w14:paraId="15C0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64" w:type="dxa"/>
            <w:gridSpan w:val="3"/>
          </w:tcPr>
          <w:p w14:paraId="78B7F21F">
            <w:pPr>
              <w:jc w:val="center"/>
              <w:rPr>
                <w:szCs w:val="21"/>
              </w:rPr>
            </w:pPr>
          </w:p>
          <w:p w14:paraId="43D07DB5">
            <w:pPr>
              <w:jc w:val="center"/>
              <w:rPr>
                <w:szCs w:val="21"/>
              </w:rPr>
            </w:pPr>
          </w:p>
          <w:p w14:paraId="307358B4">
            <w:pPr>
              <w:jc w:val="center"/>
              <w:rPr>
                <w:szCs w:val="21"/>
              </w:rPr>
            </w:pPr>
          </w:p>
          <w:p w14:paraId="541EC3F6">
            <w:pPr>
              <w:jc w:val="center"/>
              <w:rPr>
                <w:szCs w:val="21"/>
              </w:rPr>
            </w:pPr>
          </w:p>
          <w:p w14:paraId="3B5094A7">
            <w:pPr>
              <w:jc w:val="center"/>
              <w:rPr>
                <w:szCs w:val="21"/>
              </w:rPr>
            </w:pPr>
          </w:p>
          <w:p w14:paraId="1D638DCE">
            <w:pPr>
              <w:jc w:val="center"/>
              <w:rPr>
                <w:szCs w:val="21"/>
              </w:rPr>
            </w:pPr>
          </w:p>
          <w:p w14:paraId="0F43E816">
            <w:pPr>
              <w:jc w:val="center"/>
              <w:rPr>
                <w:szCs w:val="21"/>
              </w:rPr>
            </w:pPr>
          </w:p>
          <w:p w14:paraId="3B2B5C13">
            <w:pPr>
              <w:rPr>
                <w:szCs w:val="21"/>
              </w:rPr>
            </w:pPr>
          </w:p>
          <w:p w14:paraId="097814B4">
            <w:pPr>
              <w:rPr>
                <w:szCs w:val="21"/>
              </w:rPr>
            </w:pPr>
          </w:p>
        </w:tc>
        <w:tc>
          <w:tcPr>
            <w:tcW w:w="1413" w:type="dxa"/>
            <w:gridSpan w:val="2"/>
          </w:tcPr>
          <w:p w14:paraId="5EBF0206">
            <w:pPr>
              <w:rPr>
                <w:szCs w:val="21"/>
              </w:rPr>
            </w:pPr>
          </w:p>
        </w:tc>
        <w:tc>
          <w:tcPr>
            <w:tcW w:w="1957" w:type="dxa"/>
            <w:gridSpan w:val="4"/>
          </w:tcPr>
          <w:p w14:paraId="60BD88B4">
            <w:pPr>
              <w:rPr>
                <w:szCs w:val="21"/>
              </w:rPr>
            </w:pPr>
          </w:p>
        </w:tc>
        <w:tc>
          <w:tcPr>
            <w:tcW w:w="1419" w:type="dxa"/>
          </w:tcPr>
          <w:p w14:paraId="62324A23">
            <w:pPr>
              <w:rPr>
                <w:szCs w:val="21"/>
              </w:rPr>
            </w:pPr>
          </w:p>
        </w:tc>
        <w:tc>
          <w:tcPr>
            <w:tcW w:w="2128" w:type="dxa"/>
          </w:tcPr>
          <w:p w14:paraId="3E531E5F">
            <w:pPr>
              <w:rPr>
                <w:szCs w:val="21"/>
              </w:rPr>
            </w:pPr>
          </w:p>
        </w:tc>
      </w:tr>
    </w:tbl>
    <w:p w14:paraId="2561D41B">
      <w:pPr>
        <w:snapToGrid w:val="0"/>
        <w:spacing w:before="156" w:beforeLines="50"/>
        <w:jc w:val="center"/>
        <w:rPr>
          <w:rFonts w:eastAsia="黑体"/>
          <w:sz w:val="24"/>
          <w:szCs w:val="24"/>
        </w:rPr>
      </w:pPr>
      <w:r>
        <w:rPr>
          <w:rFonts w:hint="eastAsia"/>
        </w:rPr>
        <w:t xml:space="preserve">第 </w:t>
      </w:r>
      <w:r>
        <w:t xml:space="preserve">  </w:t>
      </w:r>
      <w:r>
        <w:rPr>
          <w:rFonts w:hint="eastAsia"/>
        </w:rPr>
        <w:t>页</w:t>
      </w:r>
      <w:r>
        <w:t xml:space="preserve">  </w:t>
      </w:r>
      <w:r>
        <w:rPr>
          <w:rFonts w:hint="eastAsia"/>
        </w:rPr>
        <w:t>共   页</w:t>
      </w:r>
    </w:p>
    <w:p w14:paraId="3512D14C">
      <w:pPr>
        <w:snapToGrid w:val="0"/>
        <w:spacing w:before="156" w:beforeLines="50"/>
        <w:jc w:val="center"/>
        <w:rPr>
          <w:sz w:val="32"/>
          <w:szCs w:val="32"/>
        </w:rPr>
      </w:pPr>
      <w:r>
        <w:rPr>
          <w:rFonts w:hint="eastAsia" w:eastAsia="黑体"/>
          <w:sz w:val="32"/>
          <w:szCs w:val="32"/>
        </w:rPr>
        <w:t>电子式直流电能表检定原始记录</w:t>
      </w:r>
    </w:p>
    <w:p w14:paraId="2DF42102">
      <w:pPr>
        <w:snapToGrid w:val="0"/>
        <w:spacing w:before="156" w:beforeLines="50"/>
        <w:ind w:firstLine="3360" w:firstLineChars="1600"/>
      </w:pPr>
      <w:r>
        <w:rPr>
          <w:rFonts w:hint="eastAsia"/>
        </w:rPr>
        <w:t>证书</w:t>
      </w:r>
      <w:r>
        <w:t>编号：</w:t>
      </w:r>
    </w:p>
    <w:tbl>
      <w:tblPr>
        <w:tblStyle w:val="33"/>
        <w:tblW w:w="0" w:type="auto"/>
        <w:jc w:val="center"/>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Layout w:type="fixed"/>
        <w:tblCellMar>
          <w:top w:w="0" w:type="dxa"/>
          <w:left w:w="108" w:type="dxa"/>
          <w:bottom w:w="0" w:type="dxa"/>
          <w:right w:w="108" w:type="dxa"/>
        </w:tblCellMar>
      </w:tblPr>
      <w:tblGrid>
        <w:gridCol w:w="9269"/>
      </w:tblGrid>
      <w:tr w14:paraId="5205A9F1">
        <w:tblPrEx>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69" w:type="dxa"/>
            <w:tcBorders>
              <w:top w:val="nil"/>
              <w:left w:val="nil"/>
              <w:bottom w:val="single" w:color="AEAAAA" w:sz="4" w:space="0"/>
              <w:right w:val="nil"/>
            </w:tcBorders>
            <w:vAlign w:val="center"/>
          </w:tcPr>
          <w:p w14:paraId="09A31FBF">
            <w:pPr>
              <w:adjustRightInd w:val="0"/>
              <w:snapToGrid w:val="0"/>
              <w:jc w:val="center"/>
              <w:rPr>
                <w:sz w:val="24"/>
                <w:szCs w:val="24"/>
              </w:rPr>
            </w:pPr>
            <w:r>
              <w:rPr>
                <w:rFonts w:hint="eastAsia"/>
                <w:sz w:val="24"/>
                <w:szCs w:val="24"/>
              </w:rPr>
              <w:t>检定结果记录</w:t>
            </w:r>
          </w:p>
        </w:tc>
      </w:tr>
      <w:tr w14:paraId="7F3B0332">
        <w:tblPrEx>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CellMar>
            <w:top w:w="0" w:type="dxa"/>
            <w:left w:w="108" w:type="dxa"/>
            <w:bottom w:w="0" w:type="dxa"/>
            <w:right w:w="108" w:type="dxa"/>
          </w:tblCellMar>
        </w:tblPrEx>
        <w:trPr>
          <w:trHeight w:val="10744" w:hRule="atLeast"/>
          <w:jc w:val="center"/>
        </w:trPr>
        <w:tc>
          <w:tcPr>
            <w:tcW w:w="9269" w:type="dxa"/>
            <w:tcBorders>
              <w:top w:val="single" w:color="AEAAAA" w:sz="4" w:space="0"/>
              <w:bottom w:val="single" w:color="AEAAAA" w:sz="4" w:space="0"/>
            </w:tcBorders>
          </w:tcPr>
          <w:p w14:paraId="3E556E4C">
            <w:pPr>
              <w:adjustRightInd w:val="0"/>
              <w:snapToGrid w:val="0"/>
              <w:jc w:val="center"/>
              <w:rPr>
                <w:szCs w:val="21"/>
              </w:rPr>
            </w:pP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3119"/>
              <w:gridCol w:w="4252"/>
            </w:tblGrid>
            <w:tr w14:paraId="28B1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5" w:type="dxa"/>
                  <w:gridSpan w:val="2"/>
                </w:tcPr>
                <w:p w14:paraId="6E753B17">
                  <w:pPr>
                    <w:adjustRightInd w:val="0"/>
                    <w:snapToGrid w:val="0"/>
                    <w:jc w:val="center"/>
                    <w:rPr>
                      <w:rFonts w:hint="eastAsia" w:ascii="宋体" w:hAnsi="宋体"/>
                      <w:szCs w:val="21"/>
                    </w:rPr>
                  </w:pPr>
                  <w:r>
                    <w:rPr>
                      <w:rFonts w:ascii="宋体" w:hAnsi="宋体"/>
                      <w:szCs w:val="21"/>
                    </w:rPr>
                    <w:t>检定项目</w:t>
                  </w:r>
                </w:p>
              </w:tc>
              <w:tc>
                <w:tcPr>
                  <w:tcW w:w="4252" w:type="dxa"/>
                </w:tcPr>
                <w:p w14:paraId="2268C743">
                  <w:pPr>
                    <w:adjustRightInd w:val="0"/>
                    <w:snapToGrid w:val="0"/>
                    <w:jc w:val="center"/>
                    <w:rPr>
                      <w:rFonts w:hint="eastAsia" w:ascii="宋体" w:hAnsi="宋体"/>
                      <w:szCs w:val="21"/>
                    </w:rPr>
                  </w:pPr>
                  <w:r>
                    <w:rPr>
                      <w:rFonts w:hint="eastAsia" w:ascii="宋体" w:hAnsi="宋体"/>
                      <w:szCs w:val="21"/>
                    </w:rPr>
                    <w:t>检定结果</w:t>
                  </w:r>
                </w:p>
              </w:tc>
            </w:tr>
            <w:tr w14:paraId="358DB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5" w:type="dxa"/>
                  <w:gridSpan w:val="2"/>
                </w:tcPr>
                <w:p w14:paraId="2ADA0988">
                  <w:pPr>
                    <w:numPr>
                      <w:ilvl w:val="0"/>
                      <w:numId w:val="12"/>
                    </w:numPr>
                    <w:adjustRightInd w:val="0"/>
                    <w:snapToGrid w:val="0"/>
                    <w:jc w:val="left"/>
                    <w:rPr>
                      <w:rFonts w:hint="eastAsia" w:ascii="宋体" w:hAnsi="宋体"/>
                      <w:szCs w:val="21"/>
                    </w:rPr>
                  </w:pPr>
                  <w:r>
                    <w:rPr>
                      <w:rFonts w:hint="eastAsia" w:ascii="宋体" w:hAnsi="宋体"/>
                      <w:szCs w:val="21"/>
                    </w:rPr>
                    <w:t>外观功能检查</w:t>
                  </w:r>
                </w:p>
              </w:tc>
              <w:tc>
                <w:tcPr>
                  <w:tcW w:w="4252" w:type="dxa"/>
                </w:tcPr>
                <w:p w14:paraId="09AC643A">
                  <w:pPr>
                    <w:adjustRightInd w:val="0"/>
                    <w:snapToGrid w:val="0"/>
                    <w:jc w:val="center"/>
                    <w:rPr>
                      <w:rFonts w:hint="eastAsia" w:ascii="宋体" w:hAnsi="宋体"/>
                      <w:szCs w:val="21"/>
                    </w:rPr>
                  </w:pPr>
                  <w:r>
                    <w:rPr>
                      <w:rFonts w:hint="eastAsia" w:ascii="宋体" w:hAnsi="宋体"/>
                      <w:szCs w:val="21"/>
                    </w:rPr>
                    <w:t>□合格 / □不合格</w:t>
                  </w:r>
                </w:p>
              </w:tc>
            </w:tr>
            <w:tr w14:paraId="4E27B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5" w:type="dxa"/>
                  <w:gridSpan w:val="2"/>
                </w:tcPr>
                <w:p w14:paraId="18160E3C">
                  <w:pPr>
                    <w:numPr>
                      <w:ilvl w:val="0"/>
                      <w:numId w:val="12"/>
                    </w:numPr>
                    <w:adjustRightInd w:val="0"/>
                    <w:snapToGrid w:val="0"/>
                    <w:jc w:val="left"/>
                    <w:rPr>
                      <w:rFonts w:hint="eastAsia" w:ascii="宋体" w:hAnsi="宋体"/>
                      <w:szCs w:val="21"/>
                    </w:rPr>
                  </w:pPr>
                  <w:r>
                    <w:rPr>
                      <w:rFonts w:hint="eastAsia" w:ascii="宋体" w:hAnsi="宋体"/>
                      <w:szCs w:val="21"/>
                    </w:rPr>
                    <w:t>直流电压试验</w:t>
                  </w:r>
                </w:p>
              </w:tc>
              <w:tc>
                <w:tcPr>
                  <w:tcW w:w="4252" w:type="dxa"/>
                </w:tcPr>
                <w:p w14:paraId="212CC900">
                  <w:pPr>
                    <w:adjustRightInd w:val="0"/>
                    <w:snapToGrid w:val="0"/>
                    <w:jc w:val="center"/>
                    <w:rPr>
                      <w:rFonts w:hint="eastAsia" w:ascii="宋体" w:hAnsi="宋体"/>
                      <w:szCs w:val="21"/>
                    </w:rPr>
                  </w:pPr>
                  <w:r>
                    <w:rPr>
                      <w:rFonts w:hint="eastAsia" w:ascii="宋体" w:hAnsi="宋体"/>
                      <w:szCs w:val="21"/>
                    </w:rPr>
                    <w:t>□合格 / □不合格</w:t>
                  </w:r>
                </w:p>
              </w:tc>
            </w:tr>
            <w:tr w14:paraId="32622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5" w:type="dxa"/>
                  <w:gridSpan w:val="2"/>
                </w:tcPr>
                <w:p w14:paraId="475D9451">
                  <w:pPr>
                    <w:numPr>
                      <w:ilvl w:val="0"/>
                      <w:numId w:val="12"/>
                    </w:numPr>
                    <w:adjustRightInd w:val="0"/>
                    <w:snapToGrid w:val="0"/>
                    <w:jc w:val="left"/>
                    <w:rPr>
                      <w:rFonts w:hint="eastAsia" w:ascii="宋体" w:hAnsi="宋体"/>
                      <w:szCs w:val="21"/>
                    </w:rPr>
                  </w:pPr>
                  <w:r>
                    <w:rPr>
                      <w:rFonts w:hint="eastAsia" w:ascii="宋体" w:hAnsi="宋体"/>
                      <w:szCs w:val="21"/>
                    </w:rPr>
                    <w:t>绝缘电阻试验</w:t>
                  </w:r>
                </w:p>
              </w:tc>
              <w:tc>
                <w:tcPr>
                  <w:tcW w:w="4252" w:type="dxa"/>
                </w:tcPr>
                <w:p w14:paraId="6C0FBA12">
                  <w:pPr>
                    <w:adjustRightInd w:val="0"/>
                    <w:snapToGrid w:val="0"/>
                    <w:jc w:val="center"/>
                    <w:rPr>
                      <w:rFonts w:hint="eastAsia" w:ascii="宋体" w:hAnsi="宋体"/>
                      <w:szCs w:val="21"/>
                    </w:rPr>
                  </w:pPr>
                  <w:r>
                    <w:rPr>
                      <w:rFonts w:hint="eastAsia" w:ascii="宋体" w:hAnsi="宋体"/>
                      <w:szCs w:val="21"/>
                    </w:rPr>
                    <w:t>□合格 / □不合格</w:t>
                  </w:r>
                </w:p>
              </w:tc>
            </w:tr>
            <w:tr w14:paraId="6E438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5" w:type="dxa"/>
                  <w:gridSpan w:val="2"/>
                </w:tcPr>
                <w:p w14:paraId="64A93451">
                  <w:pPr>
                    <w:numPr>
                      <w:ilvl w:val="0"/>
                      <w:numId w:val="12"/>
                    </w:numPr>
                    <w:adjustRightInd w:val="0"/>
                    <w:snapToGrid w:val="0"/>
                    <w:jc w:val="left"/>
                    <w:rPr>
                      <w:rFonts w:hint="eastAsia" w:ascii="宋体" w:hAnsi="宋体"/>
                      <w:szCs w:val="21"/>
                    </w:rPr>
                  </w:pPr>
                  <w:r>
                    <w:rPr>
                      <w:rFonts w:hint="eastAsia" w:ascii="宋体" w:hAnsi="宋体"/>
                      <w:szCs w:val="21"/>
                    </w:rPr>
                    <w:t>无负载状态试验</w:t>
                  </w:r>
                </w:p>
              </w:tc>
              <w:tc>
                <w:tcPr>
                  <w:tcW w:w="4252" w:type="dxa"/>
                </w:tcPr>
                <w:p w14:paraId="4A4904A1">
                  <w:pPr>
                    <w:adjustRightInd w:val="0"/>
                    <w:snapToGrid w:val="0"/>
                    <w:jc w:val="center"/>
                    <w:rPr>
                      <w:rFonts w:hint="eastAsia" w:ascii="宋体" w:hAnsi="宋体"/>
                      <w:szCs w:val="21"/>
                    </w:rPr>
                  </w:pPr>
                  <w:r>
                    <w:rPr>
                      <w:rFonts w:hint="eastAsia" w:ascii="宋体" w:hAnsi="宋体"/>
                      <w:szCs w:val="21"/>
                    </w:rPr>
                    <w:t>□合格 / □不合格</w:t>
                  </w:r>
                </w:p>
              </w:tc>
            </w:tr>
            <w:tr w14:paraId="734C3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6" w:type="dxa"/>
                  <w:vMerge w:val="restart"/>
                </w:tcPr>
                <w:p w14:paraId="2EEBDBA9">
                  <w:pPr>
                    <w:numPr>
                      <w:ilvl w:val="0"/>
                      <w:numId w:val="12"/>
                    </w:numPr>
                    <w:adjustRightInd w:val="0"/>
                    <w:snapToGrid w:val="0"/>
                    <w:jc w:val="left"/>
                    <w:rPr>
                      <w:rFonts w:hint="eastAsia" w:ascii="宋体" w:hAnsi="宋体"/>
                      <w:szCs w:val="21"/>
                    </w:rPr>
                  </w:pPr>
                  <w:r>
                    <w:rPr>
                      <w:rFonts w:hint="eastAsia" w:ascii="宋体" w:hAnsi="宋体"/>
                      <w:szCs w:val="21"/>
                    </w:rPr>
                    <w:t>起动试验</w:t>
                  </w:r>
                </w:p>
              </w:tc>
              <w:tc>
                <w:tcPr>
                  <w:tcW w:w="3119" w:type="dxa"/>
                </w:tcPr>
                <w:p w14:paraId="2956A1B6">
                  <w:pPr>
                    <w:adjustRightInd w:val="0"/>
                    <w:snapToGrid w:val="0"/>
                    <w:jc w:val="center"/>
                    <w:rPr>
                      <w:rFonts w:hint="eastAsia" w:ascii="宋体" w:hAnsi="宋体"/>
                      <w:szCs w:val="21"/>
                    </w:rPr>
                  </w:pPr>
                  <w:r>
                    <w:rPr>
                      <w:rFonts w:ascii="宋体" w:hAnsi="宋体" w:cs="Arial"/>
                      <w:szCs w:val="21"/>
                    </w:rPr>
                    <w:t>技术要求</w:t>
                  </w:r>
                </w:p>
              </w:tc>
              <w:tc>
                <w:tcPr>
                  <w:tcW w:w="4252" w:type="dxa"/>
                </w:tcPr>
                <w:p w14:paraId="7B86893F">
                  <w:pPr>
                    <w:adjustRightInd w:val="0"/>
                    <w:snapToGrid w:val="0"/>
                    <w:jc w:val="center"/>
                    <w:rPr>
                      <w:rFonts w:hint="eastAsia" w:ascii="宋体" w:hAnsi="宋体"/>
                      <w:szCs w:val="21"/>
                    </w:rPr>
                  </w:pPr>
                  <w:r>
                    <w:rPr>
                      <w:rFonts w:hint="eastAsia" w:ascii="宋体" w:hAnsi="宋体"/>
                      <w:szCs w:val="21"/>
                    </w:rPr>
                    <w:t>检定结果</w:t>
                  </w:r>
                </w:p>
              </w:tc>
            </w:tr>
            <w:tr w14:paraId="08492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6" w:type="dxa"/>
                  <w:vMerge w:val="continue"/>
                </w:tcPr>
                <w:p w14:paraId="4DDAE111">
                  <w:pPr>
                    <w:adjustRightInd w:val="0"/>
                    <w:snapToGrid w:val="0"/>
                    <w:jc w:val="center"/>
                    <w:rPr>
                      <w:rFonts w:hint="eastAsia" w:ascii="宋体" w:hAnsi="宋体"/>
                      <w:szCs w:val="21"/>
                    </w:rPr>
                  </w:pPr>
                </w:p>
              </w:tc>
              <w:tc>
                <w:tcPr>
                  <w:tcW w:w="3119" w:type="dxa"/>
                </w:tcPr>
                <w:p w14:paraId="60F92F00">
                  <w:pPr>
                    <w:adjustRightInd w:val="0"/>
                    <w:snapToGrid w:val="0"/>
                    <w:jc w:val="left"/>
                    <w:rPr>
                      <w:rFonts w:hint="eastAsia" w:ascii="宋体" w:hAnsi="宋体"/>
                      <w:szCs w:val="21"/>
                    </w:rPr>
                  </w:pPr>
                  <w:r>
                    <w:rPr>
                      <w:rFonts w:hint="eastAsia" w:ascii="宋体" w:hAnsi="宋体"/>
                      <w:szCs w:val="21"/>
                    </w:rPr>
                    <w:t>在规定的时限内电能表</w:t>
                  </w:r>
                  <w:r>
                    <w:rPr>
                      <w:rFonts w:ascii="宋体" w:hAnsi="宋体"/>
                      <w:szCs w:val="21"/>
                    </w:rPr>
                    <w:t>应能起动并连续</w:t>
                  </w:r>
                  <w:r>
                    <w:rPr>
                      <w:rFonts w:hint="eastAsia" w:ascii="宋体" w:hAnsi="宋体"/>
                      <w:szCs w:val="21"/>
                    </w:rPr>
                    <w:t>累计电能</w:t>
                  </w:r>
                  <w:r>
                    <w:rPr>
                      <w:rFonts w:hint="eastAsia" w:ascii="宋体" w:hAnsi="宋体" w:cs="Arial"/>
                      <w:szCs w:val="21"/>
                    </w:rPr>
                    <w:t>。</w:t>
                  </w:r>
                </w:p>
              </w:tc>
              <w:tc>
                <w:tcPr>
                  <w:tcW w:w="4252" w:type="dxa"/>
                </w:tcPr>
                <w:p w14:paraId="528D0D6F">
                  <w:pPr>
                    <w:adjustRightInd w:val="0"/>
                    <w:snapToGrid w:val="0"/>
                    <w:jc w:val="center"/>
                    <w:rPr>
                      <w:rFonts w:hint="eastAsia" w:ascii="宋体" w:hAnsi="宋体"/>
                      <w:szCs w:val="21"/>
                    </w:rPr>
                  </w:pPr>
                </w:p>
              </w:tc>
            </w:tr>
            <w:tr w14:paraId="5EA9A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6" w:type="dxa"/>
                  <w:vMerge w:val="continue"/>
                </w:tcPr>
                <w:p w14:paraId="7A642B1E">
                  <w:pPr>
                    <w:adjustRightInd w:val="0"/>
                    <w:snapToGrid w:val="0"/>
                    <w:jc w:val="center"/>
                    <w:rPr>
                      <w:rFonts w:hint="eastAsia" w:ascii="宋体" w:hAnsi="宋体"/>
                      <w:szCs w:val="21"/>
                    </w:rPr>
                  </w:pPr>
                </w:p>
              </w:tc>
              <w:tc>
                <w:tcPr>
                  <w:tcW w:w="3119" w:type="dxa"/>
                </w:tcPr>
                <w:p w14:paraId="6FD71C00">
                  <w:pPr>
                    <w:adjustRightInd w:val="0"/>
                    <w:snapToGrid w:val="0"/>
                    <w:jc w:val="left"/>
                    <w:rPr>
                      <w:rFonts w:hint="eastAsia" w:ascii="宋体" w:hAnsi="宋体"/>
                      <w:szCs w:val="21"/>
                    </w:rPr>
                  </w:pPr>
                  <w:r>
                    <w:rPr>
                      <w:rFonts w:hint="eastAsia" w:ascii="宋体" w:hAnsi="宋体"/>
                      <w:szCs w:val="21"/>
                    </w:rPr>
                    <w:t>在起动电流时其固有</w:t>
                  </w:r>
                  <w:r>
                    <w:rPr>
                      <w:rFonts w:ascii="宋体" w:hAnsi="宋体"/>
                      <w:szCs w:val="21"/>
                    </w:rPr>
                    <w:t>误差</w:t>
                  </w:r>
                  <w:r>
                    <w:rPr>
                      <w:rFonts w:hint="eastAsia" w:ascii="宋体" w:hAnsi="宋体"/>
                      <w:szCs w:val="21"/>
                    </w:rPr>
                    <w:t>不超过</w:t>
                  </w:r>
                  <w:r>
                    <w:rPr>
                      <w:rFonts w:ascii="宋体" w:hAnsi="宋体"/>
                      <w:szCs w:val="21"/>
                    </w:rPr>
                    <w:t>规定的最大允许误差。</w:t>
                  </w:r>
                </w:p>
              </w:tc>
              <w:tc>
                <w:tcPr>
                  <w:tcW w:w="4252" w:type="dxa"/>
                </w:tcPr>
                <w:p w14:paraId="2A5A20D1">
                  <w:pPr>
                    <w:adjustRightInd w:val="0"/>
                    <w:snapToGrid w:val="0"/>
                    <w:jc w:val="center"/>
                    <w:rPr>
                      <w:rFonts w:hint="eastAsia" w:ascii="宋体" w:hAnsi="宋体"/>
                      <w:szCs w:val="21"/>
                    </w:rPr>
                  </w:pPr>
                </w:p>
              </w:tc>
            </w:tr>
            <w:tr w14:paraId="1007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5" w:type="dxa"/>
                  <w:gridSpan w:val="2"/>
                </w:tcPr>
                <w:p w14:paraId="2E43A631">
                  <w:pPr>
                    <w:numPr>
                      <w:ilvl w:val="0"/>
                      <w:numId w:val="12"/>
                    </w:numPr>
                    <w:adjustRightInd w:val="0"/>
                    <w:snapToGrid w:val="0"/>
                    <w:jc w:val="left"/>
                    <w:rPr>
                      <w:rFonts w:hint="eastAsia" w:ascii="宋体" w:hAnsi="宋体"/>
                      <w:szCs w:val="21"/>
                    </w:rPr>
                  </w:pPr>
                  <w:r>
                    <w:rPr>
                      <w:rFonts w:hint="eastAsia" w:ascii="宋体" w:hAnsi="宋体"/>
                      <w:szCs w:val="21"/>
                    </w:rPr>
                    <w:t>基本误差</w:t>
                  </w:r>
                </w:p>
              </w:tc>
              <w:tc>
                <w:tcPr>
                  <w:tcW w:w="4252" w:type="dxa"/>
                </w:tcPr>
                <w:p w14:paraId="744B83AF">
                  <w:pPr>
                    <w:adjustRightInd w:val="0"/>
                    <w:snapToGrid w:val="0"/>
                    <w:jc w:val="center"/>
                    <w:rPr>
                      <w:rFonts w:hint="eastAsia" w:ascii="宋体" w:hAnsi="宋体"/>
                      <w:szCs w:val="21"/>
                    </w:rPr>
                  </w:pPr>
                  <w:r>
                    <w:rPr>
                      <w:rFonts w:hint="eastAsia" w:ascii="宋体" w:hAnsi="宋体"/>
                      <w:szCs w:val="21"/>
                    </w:rPr>
                    <w:t>□合格 / □不合格</w:t>
                  </w:r>
                </w:p>
              </w:tc>
            </w:tr>
            <w:tr w14:paraId="2DA3C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7" w:type="dxa"/>
                  <w:gridSpan w:val="3"/>
                </w:tcPr>
                <w:p w14:paraId="148E2EBD">
                  <w:pPr>
                    <w:adjustRightInd w:val="0"/>
                    <w:snapToGrid w:val="0"/>
                    <w:jc w:val="left"/>
                    <w:rPr>
                      <w:rFonts w:hint="eastAsia" w:ascii="宋体" w:hAnsi="宋体"/>
                      <w:szCs w:val="21"/>
                    </w:rPr>
                  </w:pPr>
                  <w:r>
                    <w:rPr>
                      <w:rFonts w:hint="eastAsia" w:ascii="宋体" w:hAnsi="宋体"/>
                      <w:szCs w:val="21"/>
                    </w:rPr>
                    <w:t>6</w:t>
                  </w:r>
                  <w:r>
                    <w:rPr>
                      <w:rFonts w:ascii="宋体" w:hAnsi="宋体"/>
                      <w:szCs w:val="21"/>
                    </w:rPr>
                    <w:t>.1</w:t>
                  </w:r>
                  <w:r>
                    <w:rPr>
                      <w:rFonts w:hint="eastAsia" w:ascii="宋体" w:hAnsi="宋体"/>
                      <w:szCs w:val="21"/>
                    </w:rPr>
                    <w:t xml:space="preserve"> □正向/□反向</w:t>
                  </w:r>
                </w:p>
              </w:tc>
            </w:tr>
          </w:tbl>
          <w:tbl>
            <w:tblPr>
              <w:tblStyle w:val="144"/>
              <w:tblW w:w="89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1843"/>
              <w:gridCol w:w="1418"/>
              <w:gridCol w:w="1275"/>
              <w:gridCol w:w="1276"/>
              <w:gridCol w:w="1559"/>
            </w:tblGrid>
            <w:tr w14:paraId="3A4DD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6" w:type="dxa"/>
                  <w:vAlign w:val="center"/>
                </w:tcPr>
                <w:p w14:paraId="5FA7D92F">
                  <w:pPr>
                    <w:jc w:val="center"/>
                    <w:rPr>
                      <w:szCs w:val="24"/>
                    </w:rPr>
                  </w:pPr>
                  <w:r>
                    <w:rPr>
                      <w:szCs w:val="21"/>
                    </w:rPr>
                    <w:t>电流</w:t>
                  </w:r>
                  <w:r>
                    <w:rPr>
                      <w:i/>
                      <w:iCs/>
                      <w:szCs w:val="21"/>
                    </w:rPr>
                    <w:t>I</w:t>
                  </w:r>
                </w:p>
              </w:tc>
              <w:tc>
                <w:tcPr>
                  <w:tcW w:w="1843" w:type="dxa"/>
                  <w:vAlign w:val="center"/>
                </w:tcPr>
                <w:p w14:paraId="5D2394F3">
                  <w:pPr>
                    <w:spacing w:line="300" w:lineRule="auto"/>
                    <w:ind w:left="-105" w:leftChars="-50"/>
                    <w:jc w:val="center"/>
                    <w:rPr>
                      <w:szCs w:val="21"/>
                    </w:rPr>
                  </w:pPr>
                  <w:r>
                    <w:rPr>
                      <w:rFonts w:hint="eastAsia"/>
                      <w:szCs w:val="21"/>
                    </w:rPr>
                    <w:t>电压</w:t>
                  </w:r>
                  <w:r>
                    <w:rPr>
                      <w:rFonts w:hint="eastAsia"/>
                      <w:i/>
                      <w:iCs/>
                      <w:szCs w:val="21"/>
                    </w:rPr>
                    <w:t>U</w:t>
                  </w:r>
                </w:p>
              </w:tc>
              <w:tc>
                <w:tcPr>
                  <w:tcW w:w="1418" w:type="dxa"/>
                  <w:vAlign w:val="center"/>
                </w:tcPr>
                <w:p w14:paraId="1E112F43">
                  <w:pPr>
                    <w:spacing w:line="300" w:lineRule="auto"/>
                    <w:ind w:left="-105" w:leftChars="-50"/>
                    <w:jc w:val="center"/>
                    <w:rPr>
                      <w:sz w:val="24"/>
                      <w:szCs w:val="24"/>
                    </w:rPr>
                  </w:pPr>
                  <w:r>
                    <w:rPr>
                      <w:rFonts w:hint="eastAsia" w:ascii="宋体" w:hAnsi="宋体"/>
                      <w:szCs w:val="21"/>
                    </w:rPr>
                    <w:t>误差1</w:t>
                  </w:r>
                </w:p>
              </w:tc>
              <w:tc>
                <w:tcPr>
                  <w:tcW w:w="1275" w:type="dxa"/>
                  <w:vAlign w:val="center"/>
                </w:tcPr>
                <w:p w14:paraId="302362C9">
                  <w:pPr>
                    <w:spacing w:line="300" w:lineRule="auto"/>
                    <w:ind w:left="-105" w:leftChars="-50"/>
                    <w:jc w:val="center"/>
                    <w:rPr>
                      <w:sz w:val="24"/>
                      <w:szCs w:val="24"/>
                    </w:rPr>
                  </w:pPr>
                  <w:r>
                    <w:rPr>
                      <w:rFonts w:hint="eastAsia" w:ascii="宋体" w:hAnsi="宋体"/>
                      <w:szCs w:val="21"/>
                    </w:rPr>
                    <w:t>误差2</w:t>
                  </w:r>
                </w:p>
              </w:tc>
              <w:tc>
                <w:tcPr>
                  <w:tcW w:w="1276" w:type="dxa"/>
                  <w:vAlign w:val="center"/>
                </w:tcPr>
                <w:p w14:paraId="63DE520A">
                  <w:pPr>
                    <w:spacing w:line="300" w:lineRule="auto"/>
                    <w:ind w:left="-105" w:leftChars="-50"/>
                    <w:jc w:val="center"/>
                    <w:rPr>
                      <w:sz w:val="24"/>
                      <w:szCs w:val="24"/>
                    </w:rPr>
                  </w:pPr>
                  <w:r>
                    <w:rPr>
                      <w:rFonts w:hint="eastAsia" w:ascii="宋体" w:hAnsi="宋体"/>
                      <w:szCs w:val="21"/>
                    </w:rPr>
                    <w:t>平均值</w:t>
                  </w:r>
                </w:p>
              </w:tc>
              <w:tc>
                <w:tcPr>
                  <w:tcW w:w="1559" w:type="dxa"/>
                  <w:vAlign w:val="center"/>
                </w:tcPr>
                <w:p w14:paraId="4EA8BC54">
                  <w:pPr>
                    <w:spacing w:line="300" w:lineRule="auto"/>
                    <w:ind w:left="-105" w:leftChars="-50"/>
                    <w:jc w:val="center"/>
                    <w:rPr>
                      <w:sz w:val="24"/>
                      <w:szCs w:val="24"/>
                    </w:rPr>
                  </w:pPr>
                  <w:r>
                    <w:rPr>
                      <w:rFonts w:hint="eastAsia" w:ascii="宋体" w:hAnsi="宋体"/>
                      <w:szCs w:val="21"/>
                    </w:rPr>
                    <w:t>修约结果</w:t>
                  </w:r>
                </w:p>
              </w:tc>
            </w:tr>
            <w:tr w14:paraId="324CF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6" w:type="dxa"/>
                  <w:vAlign w:val="center"/>
                </w:tcPr>
                <w:p w14:paraId="564D9D8E">
                  <w:pPr>
                    <w:jc w:val="center"/>
                    <w:rPr>
                      <w:szCs w:val="24"/>
                    </w:rPr>
                  </w:pPr>
                  <w:r>
                    <w:rPr>
                      <w:i/>
                      <w:szCs w:val="24"/>
                    </w:rPr>
                    <w:t>I</w:t>
                  </w:r>
                  <w:r>
                    <w:rPr>
                      <w:szCs w:val="21"/>
                      <w:vertAlign w:val="subscript"/>
                    </w:rPr>
                    <w:t>max</w:t>
                  </w:r>
                </w:p>
              </w:tc>
              <w:tc>
                <w:tcPr>
                  <w:tcW w:w="1843" w:type="dxa"/>
                  <w:vMerge w:val="restart"/>
                  <w:vAlign w:val="center"/>
                </w:tcPr>
                <w:p w14:paraId="7B273FCD">
                  <w:pPr>
                    <w:spacing w:line="300" w:lineRule="auto"/>
                    <w:jc w:val="center"/>
                    <w:rPr>
                      <w:sz w:val="24"/>
                      <w:szCs w:val="24"/>
                    </w:rPr>
                  </w:pPr>
                  <w:r>
                    <w:rPr>
                      <w:rFonts w:hint="eastAsia"/>
                      <w:i/>
                      <w:iCs/>
                      <w:sz w:val="24"/>
                      <w:szCs w:val="24"/>
                    </w:rPr>
                    <w:t>U</w:t>
                  </w:r>
                  <w:r>
                    <w:rPr>
                      <w:rFonts w:hint="eastAsia"/>
                      <w:sz w:val="24"/>
                      <w:szCs w:val="24"/>
                      <w:vertAlign w:val="subscript"/>
                    </w:rPr>
                    <w:t>n</w:t>
                  </w:r>
                </w:p>
              </w:tc>
              <w:tc>
                <w:tcPr>
                  <w:tcW w:w="1418" w:type="dxa"/>
                  <w:vAlign w:val="center"/>
                </w:tcPr>
                <w:p w14:paraId="20987108">
                  <w:pPr>
                    <w:spacing w:line="300" w:lineRule="auto"/>
                    <w:jc w:val="center"/>
                    <w:rPr>
                      <w:sz w:val="24"/>
                      <w:szCs w:val="24"/>
                    </w:rPr>
                  </w:pPr>
                </w:p>
              </w:tc>
              <w:tc>
                <w:tcPr>
                  <w:tcW w:w="1275" w:type="dxa"/>
                  <w:vAlign w:val="center"/>
                </w:tcPr>
                <w:p w14:paraId="74E2004F">
                  <w:pPr>
                    <w:spacing w:line="300" w:lineRule="auto"/>
                    <w:jc w:val="center"/>
                    <w:rPr>
                      <w:sz w:val="24"/>
                      <w:szCs w:val="24"/>
                    </w:rPr>
                  </w:pPr>
                </w:p>
              </w:tc>
              <w:tc>
                <w:tcPr>
                  <w:tcW w:w="1276" w:type="dxa"/>
                  <w:vAlign w:val="center"/>
                </w:tcPr>
                <w:p w14:paraId="413D5B52">
                  <w:pPr>
                    <w:spacing w:line="300" w:lineRule="auto"/>
                    <w:jc w:val="center"/>
                    <w:rPr>
                      <w:sz w:val="24"/>
                      <w:szCs w:val="24"/>
                    </w:rPr>
                  </w:pPr>
                </w:p>
              </w:tc>
              <w:tc>
                <w:tcPr>
                  <w:tcW w:w="1559" w:type="dxa"/>
                </w:tcPr>
                <w:p w14:paraId="16B4D49B">
                  <w:pPr>
                    <w:spacing w:line="300" w:lineRule="auto"/>
                    <w:jc w:val="center"/>
                    <w:rPr>
                      <w:sz w:val="24"/>
                      <w:szCs w:val="24"/>
                    </w:rPr>
                  </w:pPr>
                </w:p>
              </w:tc>
            </w:tr>
            <w:tr w14:paraId="435F8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6" w:type="dxa"/>
                  <w:vAlign w:val="center"/>
                </w:tcPr>
                <w:p w14:paraId="4E90CA6C">
                  <w:pPr>
                    <w:jc w:val="center"/>
                    <w:rPr>
                      <w:szCs w:val="24"/>
                    </w:rPr>
                  </w:pPr>
                  <w:r>
                    <w:rPr>
                      <w:szCs w:val="24"/>
                    </w:rPr>
                    <w:t>0.5</w:t>
                  </w:r>
                  <w:r>
                    <w:rPr>
                      <w:i/>
                      <w:szCs w:val="24"/>
                    </w:rPr>
                    <w:t>I</w:t>
                  </w:r>
                  <w:r>
                    <w:rPr>
                      <w:szCs w:val="21"/>
                      <w:vertAlign w:val="subscript"/>
                    </w:rPr>
                    <w:t>max</w:t>
                  </w:r>
                </w:p>
              </w:tc>
              <w:tc>
                <w:tcPr>
                  <w:tcW w:w="1843" w:type="dxa"/>
                  <w:vMerge w:val="continue"/>
                  <w:vAlign w:val="center"/>
                </w:tcPr>
                <w:p w14:paraId="734A5925">
                  <w:pPr>
                    <w:spacing w:line="300" w:lineRule="auto"/>
                    <w:jc w:val="center"/>
                    <w:rPr>
                      <w:sz w:val="24"/>
                      <w:szCs w:val="24"/>
                    </w:rPr>
                  </w:pPr>
                </w:p>
              </w:tc>
              <w:tc>
                <w:tcPr>
                  <w:tcW w:w="1418" w:type="dxa"/>
                  <w:vAlign w:val="center"/>
                </w:tcPr>
                <w:p w14:paraId="7E7F8F61">
                  <w:pPr>
                    <w:spacing w:line="300" w:lineRule="auto"/>
                    <w:jc w:val="center"/>
                    <w:rPr>
                      <w:sz w:val="24"/>
                      <w:szCs w:val="24"/>
                    </w:rPr>
                  </w:pPr>
                </w:p>
              </w:tc>
              <w:tc>
                <w:tcPr>
                  <w:tcW w:w="1275" w:type="dxa"/>
                  <w:vAlign w:val="center"/>
                </w:tcPr>
                <w:p w14:paraId="392378E7">
                  <w:pPr>
                    <w:spacing w:line="300" w:lineRule="auto"/>
                    <w:jc w:val="center"/>
                    <w:rPr>
                      <w:sz w:val="24"/>
                      <w:szCs w:val="24"/>
                    </w:rPr>
                  </w:pPr>
                </w:p>
              </w:tc>
              <w:tc>
                <w:tcPr>
                  <w:tcW w:w="1276" w:type="dxa"/>
                  <w:vAlign w:val="center"/>
                </w:tcPr>
                <w:p w14:paraId="17BD829B">
                  <w:pPr>
                    <w:spacing w:line="300" w:lineRule="auto"/>
                    <w:jc w:val="center"/>
                    <w:rPr>
                      <w:sz w:val="24"/>
                      <w:szCs w:val="24"/>
                    </w:rPr>
                  </w:pPr>
                </w:p>
              </w:tc>
              <w:tc>
                <w:tcPr>
                  <w:tcW w:w="1559" w:type="dxa"/>
                </w:tcPr>
                <w:p w14:paraId="57A3D642">
                  <w:pPr>
                    <w:spacing w:line="300" w:lineRule="auto"/>
                    <w:jc w:val="center"/>
                    <w:rPr>
                      <w:sz w:val="24"/>
                      <w:szCs w:val="24"/>
                    </w:rPr>
                  </w:pPr>
                </w:p>
              </w:tc>
            </w:tr>
            <w:tr w14:paraId="27227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6" w:type="dxa"/>
                  <w:vAlign w:val="center"/>
                </w:tcPr>
                <w:p w14:paraId="43DB330B">
                  <w:pPr>
                    <w:spacing w:line="300" w:lineRule="auto"/>
                    <w:jc w:val="center"/>
                    <w:rPr>
                      <w:sz w:val="24"/>
                      <w:szCs w:val="24"/>
                    </w:rPr>
                  </w:pPr>
                  <w:r>
                    <w:rPr>
                      <w:i/>
                      <w:szCs w:val="24"/>
                    </w:rPr>
                    <w:t>I</w:t>
                  </w:r>
                  <w:r>
                    <w:rPr>
                      <w:rFonts w:hint="eastAsia"/>
                      <w:szCs w:val="21"/>
                      <w:vertAlign w:val="subscript"/>
                    </w:rPr>
                    <w:t>n</w:t>
                  </w:r>
                </w:p>
              </w:tc>
              <w:tc>
                <w:tcPr>
                  <w:tcW w:w="1843" w:type="dxa"/>
                  <w:vMerge w:val="continue"/>
                  <w:vAlign w:val="center"/>
                </w:tcPr>
                <w:p w14:paraId="1634D6AB">
                  <w:pPr>
                    <w:spacing w:line="300" w:lineRule="auto"/>
                    <w:jc w:val="center"/>
                    <w:rPr>
                      <w:sz w:val="24"/>
                      <w:szCs w:val="24"/>
                    </w:rPr>
                  </w:pPr>
                </w:p>
              </w:tc>
              <w:tc>
                <w:tcPr>
                  <w:tcW w:w="1418" w:type="dxa"/>
                  <w:vAlign w:val="center"/>
                </w:tcPr>
                <w:p w14:paraId="446BA5CA">
                  <w:pPr>
                    <w:spacing w:line="300" w:lineRule="auto"/>
                    <w:jc w:val="center"/>
                    <w:rPr>
                      <w:sz w:val="24"/>
                      <w:szCs w:val="24"/>
                    </w:rPr>
                  </w:pPr>
                </w:p>
              </w:tc>
              <w:tc>
                <w:tcPr>
                  <w:tcW w:w="1275" w:type="dxa"/>
                  <w:vAlign w:val="center"/>
                </w:tcPr>
                <w:p w14:paraId="2A7BC5BA">
                  <w:pPr>
                    <w:spacing w:line="300" w:lineRule="auto"/>
                    <w:jc w:val="center"/>
                    <w:rPr>
                      <w:sz w:val="24"/>
                      <w:szCs w:val="24"/>
                    </w:rPr>
                  </w:pPr>
                </w:p>
              </w:tc>
              <w:tc>
                <w:tcPr>
                  <w:tcW w:w="1276" w:type="dxa"/>
                  <w:vAlign w:val="center"/>
                </w:tcPr>
                <w:p w14:paraId="3B416CB7">
                  <w:pPr>
                    <w:spacing w:line="300" w:lineRule="auto"/>
                    <w:jc w:val="center"/>
                    <w:rPr>
                      <w:sz w:val="24"/>
                      <w:szCs w:val="24"/>
                    </w:rPr>
                  </w:pPr>
                </w:p>
              </w:tc>
              <w:tc>
                <w:tcPr>
                  <w:tcW w:w="1559" w:type="dxa"/>
                </w:tcPr>
                <w:p w14:paraId="56D43C84">
                  <w:pPr>
                    <w:spacing w:line="300" w:lineRule="auto"/>
                    <w:jc w:val="center"/>
                    <w:rPr>
                      <w:sz w:val="24"/>
                      <w:szCs w:val="24"/>
                    </w:rPr>
                  </w:pPr>
                </w:p>
              </w:tc>
            </w:tr>
            <w:tr w14:paraId="72C4C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6" w:type="dxa"/>
                  <w:vAlign w:val="center"/>
                </w:tcPr>
                <w:p w14:paraId="715339F7">
                  <w:pPr>
                    <w:spacing w:line="300" w:lineRule="auto"/>
                    <w:jc w:val="center"/>
                    <w:rPr>
                      <w:sz w:val="24"/>
                      <w:szCs w:val="24"/>
                    </w:rPr>
                  </w:pPr>
                  <w:r>
                    <w:rPr>
                      <w:szCs w:val="24"/>
                    </w:rPr>
                    <w:t>0.</w:t>
                  </w:r>
                  <w:r>
                    <w:rPr>
                      <w:rFonts w:hint="eastAsia"/>
                      <w:szCs w:val="24"/>
                    </w:rPr>
                    <w:t>1</w:t>
                  </w:r>
                  <w:r>
                    <w:rPr>
                      <w:i/>
                      <w:szCs w:val="24"/>
                    </w:rPr>
                    <w:t>I</w:t>
                  </w:r>
                  <w:r>
                    <w:rPr>
                      <w:rFonts w:hint="eastAsia"/>
                      <w:szCs w:val="21"/>
                      <w:vertAlign w:val="subscript"/>
                    </w:rPr>
                    <w:t>n</w:t>
                  </w:r>
                </w:p>
              </w:tc>
              <w:tc>
                <w:tcPr>
                  <w:tcW w:w="1843" w:type="dxa"/>
                  <w:vMerge w:val="continue"/>
                  <w:vAlign w:val="center"/>
                </w:tcPr>
                <w:p w14:paraId="31FE973F">
                  <w:pPr>
                    <w:spacing w:line="300" w:lineRule="auto"/>
                    <w:jc w:val="center"/>
                    <w:rPr>
                      <w:sz w:val="24"/>
                      <w:szCs w:val="24"/>
                    </w:rPr>
                  </w:pPr>
                </w:p>
              </w:tc>
              <w:tc>
                <w:tcPr>
                  <w:tcW w:w="1418" w:type="dxa"/>
                  <w:vAlign w:val="center"/>
                </w:tcPr>
                <w:p w14:paraId="203E4683">
                  <w:pPr>
                    <w:spacing w:line="300" w:lineRule="auto"/>
                    <w:jc w:val="center"/>
                    <w:rPr>
                      <w:sz w:val="24"/>
                      <w:szCs w:val="24"/>
                    </w:rPr>
                  </w:pPr>
                </w:p>
              </w:tc>
              <w:tc>
                <w:tcPr>
                  <w:tcW w:w="1275" w:type="dxa"/>
                  <w:vAlign w:val="center"/>
                </w:tcPr>
                <w:p w14:paraId="4A0FF18B">
                  <w:pPr>
                    <w:spacing w:line="300" w:lineRule="auto"/>
                    <w:jc w:val="center"/>
                    <w:rPr>
                      <w:sz w:val="24"/>
                      <w:szCs w:val="24"/>
                    </w:rPr>
                  </w:pPr>
                </w:p>
              </w:tc>
              <w:tc>
                <w:tcPr>
                  <w:tcW w:w="1276" w:type="dxa"/>
                  <w:vAlign w:val="center"/>
                </w:tcPr>
                <w:p w14:paraId="2EA9DA4A">
                  <w:pPr>
                    <w:spacing w:line="300" w:lineRule="auto"/>
                    <w:jc w:val="center"/>
                    <w:rPr>
                      <w:sz w:val="24"/>
                      <w:szCs w:val="24"/>
                    </w:rPr>
                  </w:pPr>
                </w:p>
              </w:tc>
              <w:tc>
                <w:tcPr>
                  <w:tcW w:w="1559" w:type="dxa"/>
                </w:tcPr>
                <w:p w14:paraId="2D536134">
                  <w:pPr>
                    <w:spacing w:line="300" w:lineRule="auto"/>
                    <w:jc w:val="center"/>
                    <w:rPr>
                      <w:sz w:val="24"/>
                      <w:szCs w:val="24"/>
                    </w:rPr>
                  </w:pPr>
                </w:p>
              </w:tc>
            </w:tr>
            <w:tr w14:paraId="4201C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6" w:type="dxa"/>
                  <w:vAlign w:val="center"/>
                </w:tcPr>
                <w:p w14:paraId="0348D4D0">
                  <w:pPr>
                    <w:spacing w:line="300" w:lineRule="auto"/>
                    <w:jc w:val="center"/>
                    <w:rPr>
                      <w:sz w:val="24"/>
                      <w:szCs w:val="24"/>
                    </w:rPr>
                  </w:pPr>
                  <w:r>
                    <w:rPr>
                      <w:i/>
                      <w:szCs w:val="24"/>
                    </w:rPr>
                    <w:t>I</w:t>
                  </w:r>
                  <w:r>
                    <w:rPr>
                      <w:szCs w:val="21"/>
                      <w:vertAlign w:val="subscript"/>
                    </w:rPr>
                    <w:t>min</w:t>
                  </w:r>
                </w:p>
              </w:tc>
              <w:tc>
                <w:tcPr>
                  <w:tcW w:w="1843" w:type="dxa"/>
                  <w:vMerge w:val="continue"/>
                  <w:vAlign w:val="center"/>
                </w:tcPr>
                <w:p w14:paraId="36C7F7ED">
                  <w:pPr>
                    <w:spacing w:line="300" w:lineRule="auto"/>
                    <w:jc w:val="center"/>
                    <w:rPr>
                      <w:sz w:val="24"/>
                      <w:szCs w:val="24"/>
                    </w:rPr>
                  </w:pPr>
                </w:p>
              </w:tc>
              <w:tc>
                <w:tcPr>
                  <w:tcW w:w="1418" w:type="dxa"/>
                  <w:vAlign w:val="center"/>
                </w:tcPr>
                <w:p w14:paraId="13128D39">
                  <w:pPr>
                    <w:spacing w:line="300" w:lineRule="auto"/>
                    <w:jc w:val="center"/>
                    <w:rPr>
                      <w:sz w:val="24"/>
                      <w:szCs w:val="24"/>
                    </w:rPr>
                  </w:pPr>
                </w:p>
              </w:tc>
              <w:tc>
                <w:tcPr>
                  <w:tcW w:w="1275" w:type="dxa"/>
                  <w:vAlign w:val="center"/>
                </w:tcPr>
                <w:p w14:paraId="76B4C2BC">
                  <w:pPr>
                    <w:spacing w:line="300" w:lineRule="auto"/>
                    <w:jc w:val="center"/>
                    <w:rPr>
                      <w:sz w:val="24"/>
                      <w:szCs w:val="24"/>
                    </w:rPr>
                  </w:pPr>
                </w:p>
              </w:tc>
              <w:tc>
                <w:tcPr>
                  <w:tcW w:w="1276" w:type="dxa"/>
                  <w:vAlign w:val="center"/>
                </w:tcPr>
                <w:p w14:paraId="7B72A648">
                  <w:pPr>
                    <w:spacing w:line="300" w:lineRule="auto"/>
                    <w:jc w:val="center"/>
                    <w:rPr>
                      <w:sz w:val="24"/>
                      <w:szCs w:val="24"/>
                    </w:rPr>
                  </w:pPr>
                </w:p>
              </w:tc>
              <w:tc>
                <w:tcPr>
                  <w:tcW w:w="1559" w:type="dxa"/>
                </w:tcPr>
                <w:p w14:paraId="630E989E">
                  <w:pPr>
                    <w:spacing w:line="300" w:lineRule="auto"/>
                    <w:jc w:val="center"/>
                    <w:rPr>
                      <w:sz w:val="24"/>
                      <w:szCs w:val="24"/>
                    </w:rPr>
                  </w:pPr>
                </w:p>
              </w:tc>
            </w:tr>
          </w:tbl>
          <w:tbl>
            <w:tblPr>
              <w:tblStyle w:val="146"/>
              <w:tblW w:w="89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1191"/>
              <w:gridCol w:w="595"/>
              <w:gridCol w:w="1162"/>
              <w:gridCol w:w="624"/>
              <w:gridCol w:w="596"/>
              <w:gridCol w:w="1190"/>
              <w:gridCol w:w="1700"/>
            </w:tblGrid>
            <w:tr w14:paraId="4B21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7" w:type="dxa"/>
                  <w:gridSpan w:val="4"/>
                </w:tcPr>
                <w:p w14:paraId="66C23368">
                  <w:pPr>
                    <w:numPr>
                      <w:ilvl w:val="0"/>
                      <w:numId w:val="12"/>
                    </w:numPr>
                    <w:jc w:val="left"/>
                    <w:rPr>
                      <w:iCs/>
                      <w:szCs w:val="21"/>
                    </w:rPr>
                  </w:pPr>
                  <w:r>
                    <w:rPr>
                      <w:rFonts w:hint="eastAsia" w:ascii="宋体" w:hAnsi="宋体"/>
                      <w:color w:val="000000"/>
                      <w:szCs w:val="21"/>
                    </w:rPr>
                    <w:t>仪表常数试验</w:t>
                  </w:r>
                </w:p>
              </w:tc>
              <w:tc>
                <w:tcPr>
                  <w:tcW w:w="4110" w:type="dxa"/>
                  <w:gridSpan w:val="4"/>
                </w:tcPr>
                <w:p w14:paraId="433B0B00">
                  <w:pPr>
                    <w:jc w:val="center"/>
                    <w:rPr>
                      <w:iCs/>
                      <w:szCs w:val="21"/>
                    </w:rPr>
                  </w:pPr>
                  <w:r>
                    <w:rPr>
                      <w:rFonts w:hint="eastAsia" w:ascii="宋体" w:hAnsi="宋体"/>
                      <w:szCs w:val="21"/>
                    </w:rPr>
                    <w:t>□合格 / □不合格</w:t>
                  </w:r>
                </w:p>
              </w:tc>
            </w:tr>
            <w:tr w14:paraId="52F67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7" w:type="dxa"/>
                  <w:gridSpan w:val="4"/>
                </w:tcPr>
                <w:p w14:paraId="6DA514F9">
                  <w:pPr>
                    <w:numPr>
                      <w:ilvl w:val="0"/>
                      <w:numId w:val="12"/>
                    </w:numPr>
                    <w:jc w:val="left"/>
                    <w:rPr>
                      <w:rFonts w:hint="eastAsia" w:ascii="宋体" w:hAnsi="宋体"/>
                      <w:color w:val="000000"/>
                      <w:szCs w:val="21"/>
                    </w:rPr>
                  </w:pPr>
                  <w:r>
                    <w:rPr>
                      <w:rFonts w:hint="eastAsia" w:ascii="宋体" w:hAnsi="宋体"/>
                      <w:color w:val="000000"/>
                      <w:szCs w:val="21"/>
                    </w:rPr>
                    <w:t>时间（时刻）示值误差</w:t>
                  </w:r>
                </w:p>
              </w:tc>
              <w:tc>
                <w:tcPr>
                  <w:tcW w:w="4110" w:type="dxa"/>
                  <w:gridSpan w:val="4"/>
                </w:tcPr>
                <w:p w14:paraId="71227BDB">
                  <w:pPr>
                    <w:jc w:val="center"/>
                    <w:rPr>
                      <w:rFonts w:hint="eastAsia" w:ascii="宋体" w:hAnsi="宋体"/>
                      <w:szCs w:val="21"/>
                    </w:rPr>
                  </w:pPr>
                  <w:r>
                    <w:rPr>
                      <w:rFonts w:hint="eastAsia" w:ascii="宋体" w:hAnsi="宋体"/>
                      <w:szCs w:val="21"/>
                    </w:rPr>
                    <w:t>□合格 / □不合格</w:t>
                  </w:r>
                </w:p>
              </w:tc>
            </w:tr>
            <w:tr w14:paraId="3FA05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7" w:type="dxa"/>
                  <w:gridSpan w:val="8"/>
                  <w:vAlign w:val="center"/>
                </w:tcPr>
                <w:p w14:paraId="53C820D4">
                  <w:pPr>
                    <w:jc w:val="left"/>
                    <w:rPr>
                      <w:szCs w:val="21"/>
                    </w:rPr>
                  </w:pPr>
                  <w:r>
                    <w:rPr>
                      <w:rFonts w:ascii="宋体" w:hAnsi="宋体"/>
                      <w:color w:val="000000"/>
                      <w:szCs w:val="21"/>
                    </w:rPr>
                    <w:t>日计时</w:t>
                  </w:r>
                  <w:r>
                    <w:rPr>
                      <w:rFonts w:ascii="宋体" w:hAnsi="宋体"/>
                      <w:szCs w:val="21"/>
                    </w:rPr>
                    <w:t>误差</w:t>
                  </w:r>
                  <w:r>
                    <w:rPr>
                      <w:rFonts w:hint="eastAsia" w:ascii="宋体" w:hAnsi="宋体"/>
                      <w:szCs w:val="21"/>
                    </w:rPr>
                    <w:t>(</w:t>
                  </w:r>
                  <w:r>
                    <w:rPr>
                      <w:rFonts w:hint="eastAsia"/>
                      <w:szCs w:val="21"/>
                    </w:rPr>
                    <w:t>s/</w:t>
                  </w:r>
                  <w:r>
                    <w:rPr>
                      <w:szCs w:val="21"/>
                    </w:rPr>
                    <w:t>d</w:t>
                  </w:r>
                  <w:r>
                    <w:rPr>
                      <w:rFonts w:ascii="宋体" w:hAnsi="宋体"/>
                      <w:szCs w:val="21"/>
                    </w:rPr>
                    <w:t>)</w:t>
                  </w:r>
                </w:p>
              </w:tc>
            </w:tr>
            <w:tr w14:paraId="65268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9" w:type="dxa"/>
                </w:tcPr>
                <w:p w14:paraId="054F9E6D">
                  <w:pPr>
                    <w:jc w:val="center"/>
                    <w:rPr>
                      <w:iCs/>
                      <w:szCs w:val="21"/>
                    </w:rPr>
                  </w:pPr>
                  <w:r>
                    <w:rPr>
                      <w:rFonts w:ascii="宋体" w:hAnsi="宋体"/>
                      <w:szCs w:val="21"/>
                    </w:rPr>
                    <w:t>日计时误差</w:t>
                  </w:r>
                  <w:r>
                    <w:rPr>
                      <w:rFonts w:hint="eastAsia" w:ascii="宋体" w:hAnsi="宋体"/>
                      <w:szCs w:val="21"/>
                    </w:rPr>
                    <w:t>1</w:t>
                  </w:r>
                </w:p>
              </w:tc>
              <w:tc>
                <w:tcPr>
                  <w:tcW w:w="1786" w:type="dxa"/>
                  <w:gridSpan w:val="2"/>
                </w:tcPr>
                <w:p w14:paraId="5A7D7FA2">
                  <w:pPr>
                    <w:jc w:val="center"/>
                    <w:rPr>
                      <w:iCs/>
                      <w:szCs w:val="21"/>
                    </w:rPr>
                  </w:pPr>
                  <w:r>
                    <w:rPr>
                      <w:rFonts w:ascii="宋体" w:hAnsi="宋体"/>
                      <w:szCs w:val="21"/>
                    </w:rPr>
                    <w:t>日计时误差2</w:t>
                  </w:r>
                </w:p>
              </w:tc>
              <w:tc>
                <w:tcPr>
                  <w:tcW w:w="1786" w:type="dxa"/>
                  <w:gridSpan w:val="2"/>
                </w:tcPr>
                <w:p w14:paraId="1B9640FF">
                  <w:pPr>
                    <w:jc w:val="center"/>
                    <w:rPr>
                      <w:iCs/>
                      <w:szCs w:val="21"/>
                    </w:rPr>
                  </w:pPr>
                  <w:r>
                    <w:rPr>
                      <w:rFonts w:ascii="宋体" w:hAnsi="宋体"/>
                      <w:szCs w:val="21"/>
                    </w:rPr>
                    <w:t>日计时误差</w:t>
                  </w:r>
                  <w:r>
                    <w:rPr>
                      <w:rFonts w:hint="eastAsia" w:ascii="宋体" w:hAnsi="宋体"/>
                      <w:szCs w:val="21"/>
                    </w:rPr>
                    <w:t>3</w:t>
                  </w:r>
                </w:p>
              </w:tc>
              <w:tc>
                <w:tcPr>
                  <w:tcW w:w="1786" w:type="dxa"/>
                  <w:gridSpan w:val="2"/>
                </w:tcPr>
                <w:p w14:paraId="6E4833A0">
                  <w:pPr>
                    <w:jc w:val="center"/>
                    <w:rPr>
                      <w:iCs/>
                      <w:szCs w:val="21"/>
                    </w:rPr>
                  </w:pPr>
                  <w:r>
                    <w:rPr>
                      <w:rFonts w:hint="eastAsia"/>
                      <w:szCs w:val="21"/>
                    </w:rPr>
                    <w:t>平均值</w:t>
                  </w:r>
                </w:p>
              </w:tc>
              <w:tc>
                <w:tcPr>
                  <w:tcW w:w="1700" w:type="dxa"/>
                </w:tcPr>
                <w:p w14:paraId="62F17BC8">
                  <w:pPr>
                    <w:jc w:val="center"/>
                    <w:rPr>
                      <w:iCs/>
                      <w:szCs w:val="21"/>
                    </w:rPr>
                  </w:pPr>
                  <w:r>
                    <w:rPr>
                      <w:rFonts w:hint="eastAsia"/>
                      <w:szCs w:val="21"/>
                    </w:rPr>
                    <w:t>修约值</w:t>
                  </w:r>
                </w:p>
              </w:tc>
            </w:tr>
            <w:tr w14:paraId="41C2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9" w:type="dxa"/>
                  <w:vAlign w:val="center"/>
                </w:tcPr>
                <w:p w14:paraId="13425FCB">
                  <w:pPr>
                    <w:jc w:val="center"/>
                    <w:rPr>
                      <w:iCs/>
                      <w:szCs w:val="21"/>
                    </w:rPr>
                  </w:pPr>
                </w:p>
              </w:tc>
              <w:tc>
                <w:tcPr>
                  <w:tcW w:w="1786" w:type="dxa"/>
                  <w:gridSpan w:val="2"/>
                  <w:vAlign w:val="center"/>
                </w:tcPr>
                <w:p w14:paraId="74619D20">
                  <w:pPr>
                    <w:jc w:val="center"/>
                    <w:rPr>
                      <w:iCs/>
                      <w:szCs w:val="21"/>
                    </w:rPr>
                  </w:pPr>
                </w:p>
              </w:tc>
              <w:tc>
                <w:tcPr>
                  <w:tcW w:w="1786" w:type="dxa"/>
                  <w:gridSpan w:val="2"/>
                  <w:vAlign w:val="center"/>
                </w:tcPr>
                <w:p w14:paraId="5FD5BF2C">
                  <w:pPr>
                    <w:jc w:val="center"/>
                    <w:rPr>
                      <w:iCs/>
                      <w:szCs w:val="21"/>
                    </w:rPr>
                  </w:pPr>
                </w:p>
              </w:tc>
              <w:tc>
                <w:tcPr>
                  <w:tcW w:w="1786" w:type="dxa"/>
                  <w:gridSpan w:val="2"/>
                  <w:vAlign w:val="center"/>
                </w:tcPr>
                <w:p w14:paraId="2613E037">
                  <w:pPr>
                    <w:jc w:val="center"/>
                    <w:rPr>
                      <w:iCs/>
                      <w:szCs w:val="21"/>
                    </w:rPr>
                  </w:pPr>
                </w:p>
              </w:tc>
              <w:tc>
                <w:tcPr>
                  <w:tcW w:w="1700" w:type="dxa"/>
                  <w:vAlign w:val="center"/>
                </w:tcPr>
                <w:p w14:paraId="638D60AA">
                  <w:pPr>
                    <w:jc w:val="center"/>
                    <w:rPr>
                      <w:iCs/>
                      <w:szCs w:val="21"/>
                    </w:rPr>
                  </w:pPr>
                </w:p>
              </w:tc>
            </w:tr>
            <w:tr w14:paraId="6C85D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7" w:type="dxa"/>
                  <w:gridSpan w:val="8"/>
                  <w:vAlign w:val="center"/>
                </w:tcPr>
                <w:p w14:paraId="560DDA8A">
                  <w:pPr>
                    <w:jc w:val="left"/>
                    <w:rPr>
                      <w:iCs/>
                      <w:szCs w:val="21"/>
                    </w:rPr>
                  </w:pPr>
                  <w:r>
                    <w:rPr>
                      <w:rFonts w:hint="eastAsia"/>
                      <w:szCs w:val="21"/>
                    </w:rPr>
                    <w:t>时间(时刻</w:t>
                  </w:r>
                  <w:r>
                    <w:rPr>
                      <w:szCs w:val="21"/>
                    </w:rPr>
                    <w:t>)</w:t>
                  </w:r>
                  <w:r>
                    <w:rPr>
                      <w:rFonts w:hint="eastAsia"/>
                      <w:szCs w:val="21"/>
                    </w:rPr>
                    <w:t>示值误差</w:t>
                  </w:r>
                </w:p>
              </w:tc>
            </w:tr>
            <w:tr w14:paraId="7A25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0" w:type="dxa"/>
                  <w:gridSpan w:val="2"/>
                </w:tcPr>
                <w:p w14:paraId="6524AA1F">
                  <w:pPr>
                    <w:jc w:val="left"/>
                    <w:rPr>
                      <w:szCs w:val="21"/>
                    </w:rPr>
                  </w:pPr>
                  <w:r>
                    <w:rPr>
                      <w:rFonts w:hint="eastAsia"/>
                      <w:szCs w:val="21"/>
                    </w:rPr>
                    <w:t>电能表显示时间（时刻）</w:t>
                  </w:r>
                </w:p>
              </w:tc>
              <w:tc>
                <w:tcPr>
                  <w:tcW w:w="2977" w:type="dxa"/>
                  <w:gridSpan w:val="4"/>
                </w:tcPr>
                <w:p w14:paraId="4A9F587A">
                  <w:pPr>
                    <w:jc w:val="left"/>
                    <w:rPr>
                      <w:szCs w:val="21"/>
                    </w:rPr>
                  </w:pPr>
                  <w:r>
                    <w:rPr>
                      <w:rFonts w:hint="eastAsia" w:ascii="宋体" w:hAnsi="宋体"/>
                      <w:color w:val="000000"/>
                      <w:szCs w:val="21"/>
                    </w:rPr>
                    <w:t>标准时钟显示时间（时刻）</w:t>
                  </w:r>
                </w:p>
              </w:tc>
              <w:tc>
                <w:tcPr>
                  <w:tcW w:w="2890" w:type="dxa"/>
                  <w:gridSpan w:val="2"/>
                </w:tcPr>
                <w:p w14:paraId="5E122BC4">
                  <w:pPr>
                    <w:jc w:val="left"/>
                    <w:rPr>
                      <w:szCs w:val="21"/>
                    </w:rPr>
                  </w:pPr>
                  <w:r>
                    <w:rPr>
                      <w:rFonts w:hint="eastAsia"/>
                      <w:szCs w:val="21"/>
                    </w:rPr>
                    <w:t>时间（时刻）</w:t>
                  </w:r>
                  <w:r>
                    <w:rPr>
                      <w:rFonts w:hint="eastAsia" w:ascii="宋体" w:hAnsi="宋体"/>
                      <w:color w:val="000000"/>
                      <w:szCs w:val="21"/>
                    </w:rPr>
                    <w:t>示值误差（s）</w:t>
                  </w:r>
                </w:p>
              </w:tc>
            </w:tr>
            <w:tr w14:paraId="6611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0" w:type="dxa"/>
                  <w:gridSpan w:val="2"/>
                  <w:vAlign w:val="center"/>
                </w:tcPr>
                <w:p w14:paraId="1B959060">
                  <w:pPr>
                    <w:jc w:val="left"/>
                    <w:rPr>
                      <w:szCs w:val="21"/>
                    </w:rPr>
                  </w:pPr>
                </w:p>
              </w:tc>
              <w:tc>
                <w:tcPr>
                  <w:tcW w:w="2977" w:type="dxa"/>
                  <w:gridSpan w:val="4"/>
                  <w:vAlign w:val="center"/>
                </w:tcPr>
                <w:p w14:paraId="53D0660D">
                  <w:pPr>
                    <w:jc w:val="left"/>
                    <w:rPr>
                      <w:szCs w:val="21"/>
                    </w:rPr>
                  </w:pPr>
                </w:p>
              </w:tc>
              <w:tc>
                <w:tcPr>
                  <w:tcW w:w="2890" w:type="dxa"/>
                  <w:gridSpan w:val="2"/>
                  <w:vAlign w:val="center"/>
                </w:tcPr>
                <w:p w14:paraId="7CE7DCE2">
                  <w:pPr>
                    <w:jc w:val="left"/>
                    <w:rPr>
                      <w:szCs w:val="21"/>
                    </w:rPr>
                  </w:pPr>
                </w:p>
              </w:tc>
            </w:tr>
          </w:tbl>
          <w:p w14:paraId="648D2833">
            <w:pPr>
              <w:adjustRightInd w:val="0"/>
              <w:snapToGrid w:val="0"/>
            </w:pPr>
          </w:p>
          <w:p w14:paraId="164C1129">
            <w:pPr>
              <w:adjustRightInd w:val="0"/>
              <w:snapToGrid w:val="0"/>
              <w:rPr>
                <w:szCs w:val="21"/>
              </w:rPr>
            </w:pPr>
          </w:p>
        </w:tc>
      </w:tr>
    </w:tbl>
    <w:p w14:paraId="15F682F0">
      <w:pPr>
        <w:snapToGrid w:val="0"/>
        <w:spacing w:before="156" w:beforeLines="50"/>
        <w:jc w:val="center"/>
      </w:pPr>
      <w:r>
        <w:rPr>
          <w:rFonts w:eastAsia="黑体"/>
          <w:sz w:val="32"/>
          <w:szCs w:val="32"/>
        </w:rPr>
        <w:tab/>
      </w:r>
      <w:r>
        <w:rPr>
          <w:rFonts w:hint="eastAsia"/>
        </w:rPr>
        <w:t xml:space="preserve">第 </w:t>
      </w:r>
      <w:r>
        <w:t xml:space="preserve">  </w:t>
      </w:r>
      <w:r>
        <w:rPr>
          <w:rFonts w:hint="eastAsia"/>
        </w:rPr>
        <w:t>页</w:t>
      </w:r>
      <w:r>
        <w:t xml:space="preserve">  </w:t>
      </w:r>
      <w:r>
        <w:rPr>
          <w:rFonts w:hint="eastAsia"/>
        </w:rPr>
        <w:t>共   页</w:t>
      </w:r>
    </w:p>
    <w:p w14:paraId="2E81A18D">
      <w:pPr>
        <w:spacing w:line="300" w:lineRule="auto"/>
      </w:pPr>
    </w:p>
    <w:p w14:paraId="202BE84F">
      <w:pPr>
        <w:snapToGrid w:val="0"/>
        <w:spacing w:before="156" w:beforeLines="50"/>
        <w:jc w:val="center"/>
        <w:rPr>
          <w:sz w:val="32"/>
          <w:szCs w:val="32"/>
        </w:rPr>
      </w:pPr>
      <w:r>
        <w:rPr>
          <w:rFonts w:hint="eastAsia" w:eastAsia="黑体"/>
          <w:sz w:val="32"/>
          <w:szCs w:val="32"/>
        </w:rPr>
        <w:t>电子式直流电能表检定原始记录</w:t>
      </w:r>
    </w:p>
    <w:p w14:paraId="5FA4B2B4">
      <w:pPr>
        <w:snapToGrid w:val="0"/>
        <w:spacing w:before="156" w:beforeLines="50"/>
        <w:ind w:firstLine="3360" w:firstLineChars="1600"/>
      </w:pPr>
      <w:r>
        <w:rPr>
          <w:rFonts w:hint="eastAsia"/>
        </w:rPr>
        <w:t>证书</w:t>
      </w:r>
      <w:r>
        <w:t>编号：</w:t>
      </w:r>
    </w:p>
    <w:tbl>
      <w:tblPr>
        <w:tblStyle w:val="33"/>
        <w:tblW w:w="0" w:type="auto"/>
        <w:jc w:val="center"/>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Layout w:type="fixed"/>
        <w:tblCellMar>
          <w:top w:w="0" w:type="dxa"/>
          <w:left w:w="108" w:type="dxa"/>
          <w:bottom w:w="0" w:type="dxa"/>
          <w:right w:w="108" w:type="dxa"/>
        </w:tblCellMar>
      </w:tblPr>
      <w:tblGrid>
        <w:gridCol w:w="9269"/>
      </w:tblGrid>
      <w:tr w14:paraId="6181BC1E">
        <w:tblPrEx>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69" w:type="dxa"/>
            <w:tcBorders>
              <w:top w:val="nil"/>
              <w:left w:val="nil"/>
              <w:bottom w:val="single" w:color="AEAAAA" w:sz="4" w:space="0"/>
              <w:right w:val="nil"/>
            </w:tcBorders>
            <w:vAlign w:val="center"/>
          </w:tcPr>
          <w:p w14:paraId="4C6889F8">
            <w:pPr>
              <w:adjustRightInd w:val="0"/>
              <w:snapToGrid w:val="0"/>
              <w:jc w:val="center"/>
              <w:rPr>
                <w:sz w:val="24"/>
                <w:szCs w:val="24"/>
              </w:rPr>
            </w:pPr>
            <w:r>
              <w:rPr>
                <w:rFonts w:hint="eastAsia"/>
                <w:sz w:val="24"/>
                <w:szCs w:val="24"/>
              </w:rPr>
              <w:t>检定结果记录</w:t>
            </w:r>
          </w:p>
        </w:tc>
      </w:tr>
      <w:tr w14:paraId="33CCB143">
        <w:tblPrEx>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CellMar>
            <w:top w:w="0" w:type="dxa"/>
            <w:left w:w="108" w:type="dxa"/>
            <w:bottom w:w="0" w:type="dxa"/>
            <w:right w:w="108" w:type="dxa"/>
          </w:tblCellMar>
        </w:tblPrEx>
        <w:trPr>
          <w:trHeight w:val="9697" w:hRule="atLeast"/>
          <w:jc w:val="center"/>
        </w:trPr>
        <w:tc>
          <w:tcPr>
            <w:tcW w:w="9269" w:type="dxa"/>
            <w:tcBorders>
              <w:top w:val="single" w:color="AEAAAA" w:sz="4" w:space="0"/>
              <w:bottom w:val="single" w:color="AEAAAA" w:sz="4" w:space="0"/>
            </w:tcBorders>
            <w:vAlign w:val="center"/>
          </w:tcPr>
          <w:p w14:paraId="491AC09C">
            <w:pPr>
              <w:adjustRightInd w:val="0"/>
              <w:snapToGrid w:val="0"/>
              <w:rPr>
                <w:sz w:val="24"/>
                <w:szCs w:val="24"/>
              </w:rPr>
            </w:pPr>
            <w:r>
              <w:rPr>
                <w:rFonts w:hint="eastAsia"/>
                <w:sz w:val="24"/>
                <w:szCs w:val="24"/>
              </w:rPr>
              <w:t xml:space="preserve"> </w:t>
            </w:r>
          </w:p>
          <w:p w14:paraId="225C083A">
            <w:pPr>
              <w:adjustRightInd w:val="0"/>
              <w:snapToGrid w:val="0"/>
              <w:rPr>
                <w:sz w:val="24"/>
                <w:szCs w:val="24"/>
              </w:rPr>
            </w:pPr>
          </w:p>
          <w:p w14:paraId="3FB44D98">
            <w:pPr>
              <w:adjustRightInd w:val="0"/>
              <w:snapToGrid w:val="0"/>
              <w:rPr>
                <w:sz w:val="24"/>
                <w:szCs w:val="24"/>
              </w:rPr>
            </w:pPr>
          </w:p>
          <w:tbl>
            <w:tblPr>
              <w:tblStyle w:val="146"/>
              <w:tblpPr w:leftFromText="180" w:rightFromText="180" w:vertAnchor="text" w:tblpY="-80"/>
              <w:tblOverlap w:val="never"/>
              <w:tblW w:w="89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03"/>
              <w:gridCol w:w="1165"/>
              <w:gridCol w:w="1068"/>
              <w:gridCol w:w="2233"/>
              <w:gridCol w:w="2233"/>
            </w:tblGrid>
            <w:tr w14:paraId="46107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65" w:type="dxa"/>
                  <w:gridSpan w:val="4"/>
                </w:tcPr>
                <w:p w14:paraId="0311A6BA">
                  <w:pPr>
                    <w:numPr>
                      <w:ilvl w:val="0"/>
                      <w:numId w:val="12"/>
                    </w:numPr>
                    <w:jc w:val="left"/>
                    <w:rPr>
                      <w:iCs/>
                      <w:szCs w:val="21"/>
                    </w:rPr>
                  </w:pPr>
                  <w:r>
                    <w:rPr>
                      <w:rFonts w:hint="eastAsia" w:ascii="宋体" w:hAnsi="宋体"/>
                      <w:color w:val="000000"/>
                      <w:szCs w:val="21"/>
                    </w:rPr>
                    <w:t>电能示值组合误差</w:t>
                  </w:r>
                </w:p>
              </w:tc>
              <w:tc>
                <w:tcPr>
                  <w:tcW w:w="4466" w:type="dxa"/>
                  <w:gridSpan w:val="2"/>
                </w:tcPr>
                <w:p w14:paraId="5735CD44">
                  <w:pPr>
                    <w:jc w:val="center"/>
                    <w:rPr>
                      <w:iCs/>
                      <w:szCs w:val="21"/>
                    </w:rPr>
                  </w:pPr>
                  <w:r>
                    <w:rPr>
                      <w:rFonts w:hint="eastAsia" w:ascii="宋体" w:hAnsi="宋体"/>
                      <w:szCs w:val="21"/>
                    </w:rPr>
                    <w:t>□合格 / □不合格</w:t>
                  </w:r>
                </w:p>
              </w:tc>
            </w:tr>
            <w:tr w14:paraId="4BAFC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6"/>
                </w:tcPr>
                <w:p w14:paraId="019EFF2B">
                  <w:pPr>
                    <w:jc w:val="left"/>
                    <w:rPr>
                      <w:rFonts w:hint="eastAsia" w:ascii="宋体" w:hAnsi="宋体"/>
                      <w:szCs w:val="21"/>
                    </w:rPr>
                  </w:pPr>
                  <w:r>
                    <w:rPr>
                      <w:i/>
                      <w:iCs/>
                      <w:szCs w:val="21"/>
                    </w:rPr>
                    <w:t>n</w:t>
                  </w:r>
                  <w:r>
                    <w:rPr>
                      <w:szCs w:val="21"/>
                    </w:rPr>
                    <w:t>:</w:t>
                  </w:r>
                  <w:r>
                    <w:rPr>
                      <w:i/>
                      <w:iCs/>
                      <w:szCs w:val="21"/>
                      <w:u w:val="single"/>
                    </w:rPr>
                    <w:t xml:space="preserve">      </w:t>
                  </w:r>
                  <w:r>
                    <w:rPr>
                      <w:rFonts w:hint="eastAsia"/>
                      <w:szCs w:val="21"/>
                    </w:rPr>
                    <w:t>;</w:t>
                  </w:r>
                  <w:r>
                    <w:rPr>
                      <w:rFonts w:hint="eastAsia"/>
                      <w:i/>
                      <w:iCs/>
                      <w:szCs w:val="21"/>
                    </w:rPr>
                    <w:t>α</w:t>
                  </w:r>
                  <w:r>
                    <w:rPr>
                      <w:rFonts w:hint="eastAsia"/>
                      <w:szCs w:val="21"/>
                    </w:rPr>
                    <w:t>:</w:t>
                  </w:r>
                  <w:r>
                    <w:rPr>
                      <w:szCs w:val="21"/>
                      <w:u w:val="single"/>
                    </w:rPr>
                    <w:t xml:space="preserve">       </w:t>
                  </w:r>
                  <w:r>
                    <w:rPr>
                      <w:rFonts w:hint="eastAsia"/>
                      <w:szCs w:val="21"/>
                    </w:rPr>
                    <w:t>；电流：</w:t>
                  </w:r>
                  <w:r>
                    <w:rPr>
                      <w:rFonts w:hint="eastAsia"/>
                      <w:szCs w:val="21"/>
                      <w:u w:val="single"/>
                    </w:rPr>
                    <w:t xml:space="preserve"> </w:t>
                  </w:r>
                  <w:r>
                    <w:rPr>
                      <w:szCs w:val="21"/>
                      <w:u w:val="single"/>
                    </w:rPr>
                    <w:t xml:space="preserve">           </w:t>
                  </w:r>
                </w:p>
              </w:tc>
            </w:tr>
            <w:tr w14:paraId="60AFB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2" w:type="dxa"/>
                  <w:gridSpan w:val="2"/>
                </w:tcPr>
                <w:p w14:paraId="30EFC084">
                  <w:pPr>
                    <w:jc w:val="center"/>
                    <w:rPr>
                      <w:rFonts w:hint="eastAsia" w:ascii="宋体" w:hAnsi="宋体"/>
                      <w:szCs w:val="21"/>
                    </w:rPr>
                  </w:pPr>
                  <w:r>
                    <w:rPr>
                      <w:rFonts w:hint="eastAsia"/>
                      <w:szCs w:val="21"/>
                    </w:rPr>
                    <w:t>费率示值</w:t>
                  </w:r>
                </w:p>
              </w:tc>
              <w:tc>
                <w:tcPr>
                  <w:tcW w:w="2233" w:type="dxa"/>
                  <w:gridSpan w:val="2"/>
                </w:tcPr>
                <w:p w14:paraId="78B95786">
                  <w:pPr>
                    <w:jc w:val="center"/>
                    <w:rPr>
                      <w:rFonts w:hint="eastAsia" w:ascii="宋体" w:hAnsi="宋体"/>
                      <w:szCs w:val="21"/>
                    </w:rPr>
                  </w:pPr>
                  <w:r>
                    <w:rPr>
                      <w:rFonts w:hint="eastAsia"/>
                      <w:szCs w:val="21"/>
                    </w:rPr>
                    <w:t>初始示值/</w:t>
                  </w:r>
                  <w:r>
                    <w:rPr>
                      <w:szCs w:val="21"/>
                    </w:rPr>
                    <w:t xml:space="preserve"> kWh</w:t>
                  </w:r>
                </w:p>
              </w:tc>
              <w:tc>
                <w:tcPr>
                  <w:tcW w:w="2233" w:type="dxa"/>
                </w:tcPr>
                <w:p w14:paraId="795FAC22">
                  <w:pPr>
                    <w:jc w:val="center"/>
                    <w:rPr>
                      <w:rFonts w:hint="eastAsia" w:ascii="宋体" w:hAnsi="宋体"/>
                      <w:szCs w:val="21"/>
                    </w:rPr>
                  </w:pPr>
                  <w:r>
                    <w:rPr>
                      <w:rFonts w:hint="eastAsia"/>
                      <w:szCs w:val="21"/>
                    </w:rPr>
                    <w:t>运行后示值/</w:t>
                  </w:r>
                  <w:r>
                    <w:rPr>
                      <w:szCs w:val="21"/>
                    </w:rPr>
                    <w:t xml:space="preserve"> kWh</w:t>
                  </w:r>
                </w:p>
              </w:tc>
              <w:tc>
                <w:tcPr>
                  <w:tcW w:w="2233" w:type="dxa"/>
                </w:tcPr>
                <w:p w14:paraId="665B8950">
                  <w:pPr>
                    <w:jc w:val="center"/>
                    <w:rPr>
                      <w:rFonts w:hint="eastAsia" w:ascii="宋体" w:hAnsi="宋体"/>
                      <w:szCs w:val="21"/>
                    </w:rPr>
                  </w:pPr>
                  <w:r>
                    <w:rPr>
                      <w:rFonts w:hint="eastAsia"/>
                      <w:szCs w:val="21"/>
                    </w:rPr>
                    <w:t>电能增量/</w:t>
                  </w:r>
                  <w:r>
                    <w:rPr>
                      <w:szCs w:val="21"/>
                    </w:rPr>
                    <w:t xml:space="preserve"> kWh</w:t>
                  </w:r>
                </w:p>
              </w:tc>
            </w:tr>
            <w:tr w14:paraId="1381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2" w:type="dxa"/>
                  <w:gridSpan w:val="2"/>
                </w:tcPr>
                <w:p w14:paraId="4F1BDAA3">
                  <w:pPr>
                    <w:jc w:val="center"/>
                    <w:rPr>
                      <w:rFonts w:hint="eastAsia" w:ascii="宋体" w:hAnsi="宋体"/>
                      <w:szCs w:val="21"/>
                    </w:rPr>
                  </w:pPr>
                  <w:r>
                    <w:rPr>
                      <w:rFonts w:hint="eastAsia"/>
                      <w:i/>
                      <w:iCs/>
                      <w:szCs w:val="21"/>
                    </w:rPr>
                    <w:t>W</w:t>
                  </w:r>
                  <w:r>
                    <w:rPr>
                      <w:szCs w:val="21"/>
                      <w:vertAlign w:val="subscript"/>
                    </w:rPr>
                    <w:t>1</w:t>
                  </w:r>
                </w:p>
              </w:tc>
              <w:tc>
                <w:tcPr>
                  <w:tcW w:w="2233" w:type="dxa"/>
                  <w:gridSpan w:val="2"/>
                </w:tcPr>
                <w:p w14:paraId="7A9F7DD9">
                  <w:pPr>
                    <w:jc w:val="center"/>
                    <w:rPr>
                      <w:rFonts w:hint="eastAsia" w:ascii="宋体" w:hAnsi="宋体"/>
                      <w:szCs w:val="21"/>
                    </w:rPr>
                  </w:pPr>
                </w:p>
              </w:tc>
              <w:tc>
                <w:tcPr>
                  <w:tcW w:w="2233" w:type="dxa"/>
                </w:tcPr>
                <w:p w14:paraId="53ABD77B">
                  <w:pPr>
                    <w:jc w:val="center"/>
                    <w:rPr>
                      <w:rFonts w:hint="eastAsia" w:ascii="宋体" w:hAnsi="宋体"/>
                      <w:szCs w:val="21"/>
                    </w:rPr>
                  </w:pPr>
                </w:p>
              </w:tc>
              <w:tc>
                <w:tcPr>
                  <w:tcW w:w="2233" w:type="dxa"/>
                </w:tcPr>
                <w:p w14:paraId="02766806">
                  <w:pPr>
                    <w:jc w:val="center"/>
                    <w:rPr>
                      <w:rFonts w:hint="eastAsia" w:ascii="宋体" w:hAnsi="宋体"/>
                      <w:szCs w:val="21"/>
                    </w:rPr>
                  </w:pPr>
                </w:p>
              </w:tc>
            </w:tr>
            <w:tr w14:paraId="64449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2" w:type="dxa"/>
                  <w:gridSpan w:val="2"/>
                </w:tcPr>
                <w:p w14:paraId="63BD7086">
                  <w:pPr>
                    <w:jc w:val="center"/>
                    <w:rPr>
                      <w:rFonts w:hint="eastAsia" w:ascii="宋体" w:hAnsi="宋体"/>
                      <w:szCs w:val="21"/>
                    </w:rPr>
                  </w:pPr>
                  <w:r>
                    <w:rPr>
                      <w:rFonts w:hint="eastAsia"/>
                      <w:i/>
                      <w:iCs/>
                      <w:szCs w:val="21"/>
                    </w:rPr>
                    <w:t>W</w:t>
                  </w:r>
                  <w:r>
                    <w:rPr>
                      <w:szCs w:val="21"/>
                      <w:vertAlign w:val="subscript"/>
                    </w:rPr>
                    <w:t>2</w:t>
                  </w:r>
                </w:p>
              </w:tc>
              <w:tc>
                <w:tcPr>
                  <w:tcW w:w="2233" w:type="dxa"/>
                  <w:gridSpan w:val="2"/>
                </w:tcPr>
                <w:p w14:paraId="7592C062">
                  <w:pPr>
                    <w:jc w:val="center"/>
                    <w:rPr>
                      <w:rFonts w:hint="eastAsia" w:ascii="宋体" w:hAnsi="宋体"/>
                      <w:szCs w:val="21"/>
                    </w:rPr>
                  </w:pPr>
                </w:p>
              </w:tc>
              <w:tc>
                <w:tcPr>
                  <w:tcW w:w="2233" w:type="dxa"/>
                </w:tcPr>
                <w:p w14:paraId="19EB6B89">
                  <w:pPr>
                    <w:jc w:val="center"/>
                    <w:rPr>
                      <w:rFonts w:hint="eastAsia" w:ascii="宋体" w:hAnsi="宋体"/>
                      <w:szCs w:val="21"/>
                    </w:rPr>
                  </w:pPr>
                </w:p>
              </w:tc>
              <w:tc>
                <w:tcPr>
                  <w:tcW w:w="2233" w:type="dxa"/>
                </w:tcPr>
                <w:p w14:paraId="77892B07">
                  <w:pPr>
                    <w:jc w:val="center"/>
                    <w:rPr>
                      <w:rFonts w:hint="eastAsia" w:ascii="宋体" w:hAnsi="宋体"/>
                      <w:szCs w:val="21"/>
                    </w:rPr>
                  </w:pPr>
                </w:p>
              </w:tc>
            </w:tr>
            <w:tr w14:paraId="53AE9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2" w:type="dxa"/>
                  <w:gridSpan w:val="2"/>
                </w:tcPr>
                <w:p w14:paraId="367852FF">
                  <w:pPr>
                    <w:jc w:val="center"/>
                    <w:rPr>
                      <w:rFonts w:hint="eastAsia" w:ascii="宋体" w:hAnsi="宋体"/>
                      <w:szCs w:val="21"/>
                    </w:rPr>
                  </w:pPr>
                  <w:r>
                    <w:rPr>
                      <w:rFonts w:hint="eastAsia"/>
                      <w:i/>
                      <w:iCs/>
                      <w:szCs w:val="21"/>
                    </w:rPr>
                    <w:t>W</w:t>
                  </w:r>
                  <w:r>
                    <w:rPr>
                      <w:szCs w:val="21"/>
                      <w:vertAlign w:val="subscript"/>
                    </w:rPr>
                    <w:t>3</w:t>
                  </w:r>
                </w:p>
              </w:tc>
              <w:tc>
                <w:tcPr>
                  <w:tcW w:w="2233" w:type="dxa"/>
                  <w:gridSpan w:val="2"/>
                </w:tcPr>
                <w:p w14:paraId="4114E3FE">
                  <w:pPr>
                    <w:jc w:val="center"/>
                    <w:rPr>
                      <w:rFonts w:hint="eastAsia" w:ascii="宋体" w:hAnsi="宋体"/>
                      <w:szCs w:val="21"/>
                    </w:rPr>
                  </w:pPr>
                </w:p>
              </w:tc>
              <w:tc>
                <w:tcPr>
                  <w:tcW w:w="2233" w:type="dxa"/>
                </w:tcPr>
                <w:p w14:paraId="597B5B91">
                  <w:pPr>
                    <w:jc w:val="center"/>
                    <w:rPr>
                      <w:rFonts w:hint="eastAsia" w:ascii="宋体" w:hAnsi="宋体"/>
                      <w:szCs w:val="21"/>
                    </w:rPr>
                  </w:pPr>
                </w:p>
              </w:tc>
              <w:tc>
                <w:tcPr>
                  <w:tcW w:w="2233" w:type="dxa"/>
                </w:tcPr>
                <w:p w14:paraId="6C74B0C6">
                  <w:pPr>
                    <w:jc w:val="center"/>
                    <w:rPr>
                      <w:rFonts w:hint="eastAsia" w:ascii="宋体" w:hAnsi="宋体"/>
                      <w:szCs w:val="21"/>
                    </w:rPr>
                  </w:pPr>
                </w:p>
              </w:tc>
            </w:tr>
            <w:tr w14:paraId="282CC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2" w:type="dxa"/>
                  <w:gridSpan w:val="2"/>
                </w:tcPr>
                <w:p w14:paraId="6C4C9A3C">
                  <w:pPr>
                    <w:jc w:val="center"/>
                    <w:rPr>
                      <w:rFonts w:hint="eastAsia" w:ascii="宋体" w:hAnsi="宋体"/>
                      <w:szCs w:val="21"/>
                    </w:rPr>
                  </w:pPr>
                  <w:r>
                    <w:rPr>
                      <w:rFonts w:hint="eastAsia"/>
                      <w:i/>
                      <w:iCs/>
                      <w:szCs w:val="21"/>
                    </w:rPr>
                    <w:t>W</w:t>
                  </w:r>
                  <w:r>
                    <w:rPr>
                      <w:szCs w:val="21"/>
                      <w:vertAlign w:val="subscript"/>
                    </w:rPr>
                    <w:t>4</w:t>
                  </w:r>
                </w:p>
              </w:tc>
              <w:tc>
                <w:tcPr>
                  <w:tcW w:w="2233" w:type="dxa"/>
                  <w:gridSpan w:val="2"/>
                </w:tcPr>
                <w:p w14:paraId="51C5E0F0">
                  <w:pPr>
                    <w:jc w:val="center"/>
                    <w:rPr>
                      <w:rFonts w:hint="eastAsia" w:ascii="宋体" w:hAnsi="宋体"/>
                      <w:szCs w:val="21"/>
                    </w:rPr>
                  </w:pPr>
                </w:p>
              </w:tc>
              <w:tc>
                <w:tcPr>
                  <w:tcW w:w="2233" w:type="dxa"/>
                </w:tcPr>
                <w:p w14:paraId="2F533BD1">
                  <w:pPr>
                    <w:jc w:val="center"/>
                    <w:rPr>
                      <w:rFonts w:hint="eastAsia" w:ascii="宋体" w:hAnsi="宋体"/>
                      <w:szCs w:val="21"/>
                    </w:rPr>
                  </w:pPr>
                </w:p>
              </w:tc>
              <w:tc>
                <w:tcPr>
                  <w:tcW w:w="2233" w:type="dxa"/>
                </w:tcPr>
                <w:p w14:paraId="272A9898">
                  <w:pPr>
                    <w:jc w:val="center"/>
                    <w:rPr>
                      <w:rFonts w:hint="eastAsia" w:ascii="宋体" w:hAnsi="宋体"/>
                      <w:szCs w:val="21"/>
                    </w:rPr>
                  </w:pPr>
                </w:p>
              </w:tc>
            </w:tr>
            <w:tr w14:paraId="4335A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2" w:type="dxa"/>
                  <w:gridSpan w:val="2"/>
                </w:tcPr>
                <w:p w14:paraId="58CCC5EF">
                  <w:pPr>
                    <w:jc w:val="center"/>
                    <w:rPr>
                      <w:rFonts w:hint="eastAsia" w:ascii="宋体" w:hAnsi="宋体"/>
                      <w:szCs w:val="21"/>
                    </w:rPr>
                  </w:pPr>
                  <w:r>
                    <w:rPr>
                      <w:rFonts w:hint="eastAsia"/>
                      <w:i/>
                      <w:iCs/>
                      <w:szCs w:val="21"/>
                    </w:rPr>
                    <w:t>W</w:t>
                  </w:r>
                </w:p>
              </w:tc>
              <w:tc>
                <w:tcPr>
                  <w:tcW w:w="2233" w:type="dxa"/>
                  <w:gridSpan w:val="2"/>
                </w:tcPr>
                <w:p w14:paraId="42D24B8C">
                  <w:pPr>
                    <w:jc w:val="center"/>
                    <w:rPr>
                      <w:rFonts w:hint="eastAsia" w:ascii="宋体" w:hAnsi="宋体"/>
                      <w:szCs w:val="21"/>
                    </w:rPr>
                  </w:pPr>
                </w:p>
              </w:tc>
              <w:tc>
                <w:tcPr>
                  <w:tcW w:w="2233" w:type="dxa"/>
                </w:tcPr>
                <w:p w14:paraId="18A91F04">
                  <w:pPr>
                    <w:jc w:val="center"/>
                    <w:rPr>
                      <w:rFonts w:hint="eastAsia" w:ascii="宋体" w:hAnsi="宋体"/>
                      <w:szCs w:val="21"/>
                    </w:rPr>
                  </w:pPr>
                </w:p>
              </w:tc>
              <w:tc>
                <w:tcPr>
                  <w:tcW w:w="2233" w:type="dxa"/>
                </w:tcPr>
                <w:p w14:paraId="2B17982C">
                  <w:pPr>
                    <w:jc w:val="center"/>
                    <w:rPr>
                      <w:rFonts w:hint="eastAsia" w:ascii="宋体" w:hAnsi="宋体"/>
                      <w:szCs w:val="21"/>
                    </w:rPr>
                  </w:pPr>
                </w:p>
              </w:tc>
            </w:tr>
            <w:tr w14:paraId="6756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2" w:type="dxa"/>
                  <w:gridSpan w:val="2"/>
                </w:tcPr>
                <w:p w14:paraId="7B6AC4B6">
                  <w:pPr>
                    <w:jc w:val="center"/>
                    <w:rPr>
                      <w:i/>
                      <w:iCs/>
                      <w:szCs w:val="21"/>
                    </w:rPr>
                  </w:pPr>
                  <w:r>
                    <w:rPr>
                      <w:rFonts w:hint="eastAsia"/>
                      <w:szCs w:val="21"/>
                    </w:rPr>
                    <w:t>组合误差/</w:t>
                  </w:r>
                  <w:r>
                    <w:rPr>
                      <w:szCs w:val="21"/>
                    </w:rPr>
                    <w:t xml:space="preserve"> kWh</w:t>
                  </w:r>
                </w:p>
              </w:tc>
              <w:tc>
                <w:tcPr>
                  <w:tcW w:w="6699" w:type="dxa"/>
                  <w:gridSpan w:val="4"/>
                </w:tcPr>
                <w:p w14:paraId="4A09718D">
                  <w:pPr>
                    <w:jc w:val="center"/>
                    <w:rPr>
                      <w:rFonts w:hint="eastAsia" w:ascii="宋体" w:hAnsi="宋体"/>
                      <w:szCs w:val="21"/>
                    </w:rPr>
                  </w:pPr>
                </w:p>
              </w:tc>
            </w:tr>
            <w:tr w14:paraId="049E5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65" w:type="dxa"/>
                  <w:gridSpan w:val="4"/>
                </w:tcPr>
                <w:p w14:paraId="6D997BCA">
                  <w:pPr>
                    <w:numPr>
                      <w:ilvl w:val="0"/>
                      <w:numId w:val="12"/>
                    </w:numPr>
                    <w:jc w:val="left"/>
                    <w:rPr>
                      <w:rFonts w:hint="eastAsia" w:ascii="宋体" w:hAnsi="宋体"/>
                      <w:szCs w:val="21"/>
                    </w:rPr>
                  </w:pPr>
                  <w:r>
                    <w:rPr>
                      <w:rFonts w:hint="eastAsia" w:ascii="宋体" w:hAnsi="宋体"/>
                      <w:color w:val="000000"/>
                      <w:szCs w:val="21"/>
                    </w:rPr>
                    <w:t>负载电流升降变差试验</w:t>
                  </w:r>
                </w:p>
              </w:tc>
              <w:tc>
                <w:tcPr>
                  <w:tcW w:w="4466" w:type="dxa"/>
                  <w:gridSpan w:val="2"/>
                </w:tcPr>
                <w:p w14:paraId="342EDB43">
                  <w:pPr>
                    <w:jc w:val="center"/>
                    <w:rPr>
                      <w:rFonts w:hint="eastAsia" w:ascii="宋体" w:hAnsi="宋体"/>
                      <w:szCs w:val="21"/>
                    </w:rPr>
                  </w:pPr>
                  <w:r>
                    <w:rPr>
                      <w:rFonts w:hint="eastAsia" w:ascii="宋体" w:hAnsi="宋体"/>
                      <w:szCs w:val="21"/>
                    </w:rPr>
                    <w:t>□合格 / □不合格</w:t>
                  </w:r>
                </w:p>
              </w:tc>
            </w:tr>
            <w:tr w14:paraId="4C115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4A3A6579">
                  <w:pPr>
                    <w:jc w:val="center"/>
                    <w:rPr>
                      <w:rFonts w:hint="eastAsia" w:ascii="宋体" w:hAnsi="宋体"/>
                      <w:szCs w:val="21"/>
                    </w:rPr>
                  </w:pPr>
                  <w:r>
                    <w:rPr>
                      <w:rFonts w:hint="eastAsia"/>
                      <w:color w:val="000000"/>
                      <w:szCs w:val="21"/>
                    </w:rPr>
                    <w:t>电流</w:t>
                  </w:r>
                </w:p>
              </w:tc>
              <w:tc>
                <w:tcPr>
                  <w:tcW w:w="1103" w:type="dxa"/>
                  <w:vAlign w:val="center"/>
                </w:tcPr>
                <w:p w14:paraId="6C0B0240">
                  <w:pPr>
                    <w:jc w:val="center"/>
                    <w:rPr>
                      <w:rFonts w:hint="eastAsia" w:ascii="宋体" w:hAnsi="宋体"/>
                      <w:szCs w:val="21"/>
                    </w:rPr>
                  </w:pPr>
                  <w:r>
                    <w:rPr>
                      <w:rFonts w:hint="eastAsia" w:ascii="宋体" w:hAnsi="宋体"/>
                      <w:szCs w:val="21"/>
                    </w:rPr>
                    <w:t>电压</w:t>
                  </w:r>
                </w:p>
              </w:tc>
              <w:tc>
                <w:tcPr>
                  <w:tcW w:w="1165" w:type="dxa"/>
                  <w:vAlign w:val="center"/>
                </w:tcPr>
                <w:p w14:paraId="59772FC6">
                  <w:pPr>
                    <w:jc w:val="center"/>
                    <w:rPr>
                      <w:rFonts w:hint="eastAsia" w:ascii="宋体" w:hAnsi="宋体"/>
                      <w:szCs w:val="21"/>
                    </w:rPr>
                  </w:pPr>
                  <w:r>
                    <w:rPr>
                      <w:rFonts w:hint="eastAsia" w:ascii="宋体" w:hAnsi="宋体"/>
                      <w:szCs w:val="21"/>
                    </w:rPr>
                    <w:t>误差1</w:t>
                  </w:r>
                </w:p>
                <w:p w14:paraId="3D53B7E3">
                  <w:pPr>
                    <w:jc w:val="center"/>
                    <w:rPr>
                      <w:rFonts w:hint="eastAsia" w:ascii="宋体" w:hAnsi="宋体"/>
                      <w:szCs w:val="21"/>
                    </w:rPr>
                  </w:pPr>
                  <w:r>
                    <w:rPr>
                      <w:rFonts w:hint="eastAsia" w:ascii="宋体" w:hAnsi="宋体"/>
                      <w:szCs w:val="21"/>
                    </w:rPr>
                    <w:t>从低到高</w:t>
                  </w:r>
                </w:p>
              </w:tc>
              <w:tc>
                <w:tcPr>
                  <w:tcW w:w="1068" w:type="dxa"/>
                  <w:vAlign w:val="center"/>
                </w:tcPr>
                <w:p w14:paraId="4B7E1829">
                  <w:pPr>
                    <w:jc w:val="center"/>
                    <w:rPr>
                      <w:rFonts w:hint="eastAsia" w:ascii="宋体" w:hAnsi="宋体"/>
                      <w:szCs w:val="21"/>
                    </w:rPr>
                  </w:pPr>
                  <w:r>
                    <w:rPr>
                      <w:rFonts w:hint="eastAsia" w:ascii="宋体" w:hAnsi="宋体"/>
                      <w:szCs w:val="21"/>
                    </w:rPr>
                    <w:t>误差2</w:t>
                  </w:r>
                </w:p>
                <w:p w14:paraId="693F29FE">
                  <w:pPr>
                    <w:jc w:val="center"/>
                    <w:rPr>
                      <w:rFonts w:hint="eastAsia" w:ascii="宋体" w:hAnsi="宋体"/>
                      <w:szCs w:val="21"/>
                    </w:rPr>
                  </w:pPr>
                  <w:r>
                    <w:rPr>
                      <w:rFonts w:hint="eastAsia" w:ascii="宋体" w:hAnsi="宋体"/>
                      <w:szCs w:val="21"/>
                    </w:rPr>
                    <w:t>从高到低</w:t>
                  </w:r>
                </w:p>
              </w:tc>
              <w:tc>
                <w:tcPr>
                  <w:tcW w:w="2233" w:type="dxa"/>
                  <w:vAlign w:val="center"/>
                </w:tcPr>
                <w:p w14:paraId="4FC24CA4">
                  <w:pPr>
                    <w:jc w:val="center"/>
                    <w:rPr>
                      <w:rFonts w:hint="eastAsia" w:ascii="宋体" w:hAnsi="宋体"/>
                      <w:szCs w:val="21"/>
                    </w:rPr>
                  </w:pPr>
                  <w:r>
                    <w:rPr>
                      <w:rFonts w:hint="eastAsia" w:ascii="宋体" w:hAnsi="宋体"/>
                      <w:szCs w:val="21"/>
                    </w:rPr>
                    <w:t>变差值</w:t>
                  </w:r>
                </w:p>
              </w:tc>
              <w:tc>
                <w:tcPr>
                  <w:tcW w:w="2233" w:type="dxa"/>
                  <w:vAlign w:val="center"/>
                </w:tcPr>
                <w:p w14:paraId="6C030CDD">
                  <w:pPr>
                    <w:jc w:val="center"/>
                    <w:rPr>
                      <w:rFonts w:hint="eastAsia" w:ascii="宋体" w:hAnsi="宋体"/>
                      <w:szCs w:val="21"/>
                    </w:rPr>
                  </w:pPr>
                  <w:r>
                    <w:rPr>
                      <w:rFonts w:hint="eastAsia" w:ascii="宋体" w:hAnsi="宋体"/>
                      <w:szCs w:val="21"/>
                    </w:rPr>
                    <w:t>修约值</w:t>
                  </w:r>
                </w:p>
              </w:tc>
            </w:tr>
            <w:tr w14:paraId="76176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50A6F7DB">
                  <w:pPr>
                    <w:jc w:val="center"/>
                    <w:rPr>
                      <w:rFonts w:hint="eastAsia" w:ascii="宋体" w:hAnsi="宋体"/>
                      <w:szCs w:val="21"/>
                    </w:rPr>
                  </w:pPr>
                  <w:r>
                    <w:rPr>
                      <w:i/>
                      <w:szCs w:val="24"/>
                    </w:rPr>
                    <w:t>I</w:t>
                  </w:r>
                  <w:r>
                    <w:rPr>
                      <w:szCs w:val="21"/>
                      <w:vertAlign w:val="subscript"/>
                    </w:rPr>
                    <w:t>max</w:t>
                  </w:r>
                </w:p>
              </w:tc>
              <w:tc>
                <w:tcPr>
                  <w:tcW w:w="1103" w:type="dxa"/>
                  <w:vMerge w:val="restart"/>
                  <w:vAlign w:val="center"/>
                </w:tcPr>
                <w:p w14:paraId="5F891C34">
                  <w:pPr>
                    <w:jc w:val="center"/>
                    <w:rPr>
                      <w:rFonts w:hint="eastAsia" w:ascii="宋体" w:hAnsi="宋体"/>
                      <w:szCs w:val="21"/>
                    </w:rPr>
                  </w:pPr>
                  <w:r>
                    <w:rPr>
                      <w:rFonts w:hint="eastAsia" w:ascii="宋体" w:hAnsi="宋体"/>
                      <w:i/>
                      <w:iCs/>
                      <w:szCs w:val="21"/>
                    </w:rPr>
                    <w:t>U</w:t>
                  </w:r>
                  <w:r>
                    <w:rPr>
                      <w:rFonts w:hint="eastAsia" w:ascii="宋体" w:hAnsi="宋体"/>
                      <w:szCs w:val="21"/>
                      <w:vertAlign w:val="subscript"/>
                    </w:rPr>
                    <w:t>n</w:t>
                  </w:r>
                </w:p>
              </w:tc>
              <w:tc>
                <w:tcPr>
                  <w:tcW w:w="1165" w:type="dxa"/>
                  <w:vAlign w:val="center"/>
                </w:tcPr>
                <w:p w14:paraId="307F6C05">
                  <w:pPr>
                    <w:jc w:val="center"/>
                    <w:rPr>
                      <w:rFonts w:hint="eastAsia" w:ascii="宋体" w:hAnsi="宋体"/>
                      <w:szCs w:val="21"/>
                    </w:rPr>
                  </w:pPr>
                </w:p>
              </w:tc>
              <w:tc>
                <w:tcPr>
                  <w:tcW w:w="1068" w:type="dxa"/>
                  <w:vAlign w:val="center"/>
                </w:tcPr>
                <w:p w14:paraId="1708C7E7">
                  <w:pPr>
                    <w:jc w:val="center"/>
                    <w:rPr>
                      <w:rFonts w:hint="eastAsia" w:ascii="宋体" w:hAnsi="宋体"/>
                      <w:szCs w:val="21"/>
                    </w:rPr>
                  </w:pPr>
                </w:p>
              </w:tc>
              <w:tc>
                <w:tcPr>
                  <w:tcW w:w="2233" w:type="dxa"/>
                  <w:vAlign w:val="center"/>
                </w:tcPr>
                <w:p w14:paraId="235FBF07">
                  <w:pPr>
                    <w:jc w:val="center"/>
                    <w:rPr>
                      <w:rFonts w:hint="eastAsia" w:ascii="宋体" w:hAnsi="宋体"/>
                      <w:szCs w:val="21"/>
                    </w:rPr>
                  </w:pPr>
                </w:p>
              </w:tc>
              <w:tc>
                <w:tcPr>
                  <w:tcW w:w="2233" w:type="dxa"/>
                  <w:vAlign w:val="center"/>
                </w:tcPr>
                <w:p w14:paraId="2B3046C3">
                  <w:pPr>
                    <w:jc w:val="center"/>
                    <w:rPr>
                      <w:rFonts w:hint="eastAsia" w:ascii="宋体" w:hAnsi="宋体"/>
                      <w:szCs w:val="21"/>
                    </w:rPr>
                  </w:pPr>
                </w:p>
              </w:tc>
            </w:tr>
            <w:tr w14:paraId="781C9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7B690AA5">
                  <w:pPr>
                    <w:jc w:val="center"/>
                    <w:rPr>
                      <w:i/>
                      <w:szCs w:val="21"/>
                    </w:rPr>
                  </w:pPr>
                  <w:r>
                    <w:rPr>
                      <w:szCs w:val="24"/>
                    </w:rPr>
                    <w:t>0.5</w:t>
                  </w:r>
                  <w:r>
                    <w:rPr>
                      <w:i/>
                      <w:szCs w:val="24"/>
                    </w:rPr>
                    <w:t>I</w:t>
                  </w:r>
                  <w:r>
                    <w:rPr>
                      <w:szCs w:val="21"/>
                      <w:vertAlign w:val="subscript"/>
                    </w:rPr>
                    <w:t>max</w:t>
                  </w:r>
                </w:p>
              </w:tc>
              <w:tc>
                <w:tcPr>
                  <w:tcW w:w="1103" w:type="dxa"/>
                  <w:vMerge w:val="continue"/>
                  <w:vAlign w:val="center"/>
                </w:tcPr>
                <w:p w14:paraId="35BFF442">
                  <w:pPr>
                    <w:jc w:val="center"/>
                    <w:rPr>
                      <w:i/>
                      <w:szCs w:val="21"/>
                    </w:rPr>
                  </w:pPr>
                </w:p>
              </w:tc>
              <w:tc>
                <w:tcPr>
                  <w:tcW w:w="1165" w:type="dxa"/>
                  <w:vAlign w:val="center"/>
                </w:tcPr>
                <w:p w14:paraId="07CA4392">
                  <w:pPr>
                    <w:jc w:val="center"/>
                    <w:rPr>
                      <w:rFonts w:hint="eastAsia" w:ascii="宋体" w:hAnsi="宋体"/>
                      <w:szCs w:val="21"/>
                    </w:rPr>
                  </w:pPr>
                </w:p>
              </w:tc>
              <w:tc>
                <w:tcPr>
                  <w:tcW w:w="1068" w:type="dxa"/>
                  <w:vAlign w:val="center"/>
                </w:tcPr>
                <w:p w14:paraId="5B926B21">
                  <w:pPr>
                    <w:jc w:val="center"/>
                    <w:rPr>
                      <w:rFonts w:hint="eastAsia" w:ascii="宋体" w:hAnsi="宋体"/>
                      <w:szCs w:val="21"/>
                    </w:rPr>
                  </w:pPr>
                </w:p>
              </w:tc>
              <w:tc>
                <w:tcPr>
                  <w:tcW w:w="2233" w:type="dxa"/>
                  <w:vAlign w:val="center"/>
                </w:tcPr>
                <w:p w14:paraId="758EF39B">
                  <w:pPr>
                    <w:jc w:val="center"/>
                    <w:rPr>
                      <w:rFonts w:hint="eastAsia" w:ascii="宋体" w:hAnsi="宋体"/>
                      <w:szCs w:val="21"/>
                    </w:rPr>
                  </w:pPr>
                </w:p>
              </w:tc>
              <w:tc>
                <w:tcPr>
                  <w:tcW w:w="2233" w:type="dxa"/>
                  <w:vAlign w:val="center"/>
                </w:tcPr>
                <w:p w14:paraId="08246AA9">
                  <w:pPr>
                    <w:jc w:val="center"/>
                    <w:rPr>
                      <w:rFonts w:hint="eastAsia" w:ascii="宋体" w:hAnsi="宋体"/>
                      <w:szCs w:val="21"/>
                    </w:rPr>
                  </w:pPr>
                </w:p>
              </w:tc>
            </w:tr>
            <w:tr w14:paraId="64CCA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25198CF4">
                  <w:pPr>
                    <w:jc w:val="center"/>
                    <w:rPr>
                      <w:i/>
                      <w:szCs w:val="21"/>
                    </w:rPr>
                  </w:pPr>
                  <w:r>
                    <w:rPr>
                      <w:i/>
                      <w:szCs w:val="24"/>
                    </w:rPr>
                    <w:t>I</w:t>
                  </w:r>
                  <w:r>
                    <w:rPr>
                      <w:rFonts w:hint="eastAsia"/>
                      <w:szCs w:val="21"/>
                      <w:vertAlign w:val="subscript"/>
                    </w:rPr>
                    <w:t>n</w:t>
                  </w:r>
                </w:p>
              </w:tc>
              <w:tc>
                <w:tcPr>
                  <w:tcW w:w="1103" w:type="dxa"/>
                  <w:vMerge w:val="continue"/>
                  <w:vAlign w:val="center"/>
                </w:tcPr>
                <w:p w14:paraId="60412596">
                  <w:pPr>
                    <w:jc w:val="center"/>
                    <w:rPr>
                      <w:i/>
                      <w:szCs w:val="21"/>
                    </w:rPr>
                  </w:pPr>
                </w:p>
              </w:tc>
              <w:tc>
                <w:tcPr>
                  <w:tcW w:w="1165" w:type="dxa"/>
                  <w:vAlign w:val="center"/>
                </w:tcPr>
                <w:p w14:paraId="3E4BC721">
                  <w:pPr>
                    <w:jc w:val="center"/>
                    <w:rPr>
                      <w:rFonts w:hint="eastAsia" w:ascii="宋体" w:hAnsi="宋体"/>
                      <w:szCs w:val="21"/>
                    </w:rPr>
                  </w:pPr>
                </w:p>
              </w:tc>
              <w:tc>
                <w:tcPr>
                  <w:tcW w:w="1068" w:type="dxa"/>
                  <w:vAlign w:val="center"/>
                </w:tcPr>
                <w:p w14:paraId="7C231C72">
                  <w:pPr>
                    <w:jc w:val="center"/>
                    <w:rPr>
                      <w:rFonts w:hint="eastAsia" w:ascii="宋体" w:hAnsi="宋体"/>
                      <w:szCs w:val="21"/>
                    </w:rPr>
                  </w:pPr>
                </w:p>
              </w:tc>
              <w:tc>
                <w:tcPr>
                  <w:tcW w:w="2233" w:type="dxa"/>
                  <w:vAlign w:val="center"/>
                </w:tcPr>
                <w:p w14:paraId="6A072AFC">
                  <w:pPr>
                    <w:jc w:val="center"/>
                    <w:rPr>
                      <w:rFonts w:hint="eastAsia" w:ascii="宋体" w:hAnsi="宋体"/>
                      <w:szCs w:val="21"/>
                    </w:rPr>
                  </w:pPr>
                </w:p>
              </w:tc>
              <w:tc>
                <w:tcPr>
                  <w:tcW w:w="2233" w:type="dxa"/>
                  <w:vAlign w:val="center"/>
                </w:tcPr>
                <w:p w14:paraId="30090334">
                  <w:pPr>
                    <w:jc w:val="center"/>
                    <w:rPr>
                      <w:rFonts w:hint="eastAsia" w:ascii="宋体" w:hAnsi="宋体"/>
                      <w:szCs w:val="21"/>
                    </w:rPr>
                  </w:pPr>
                </w:p>
              </w:tc>
            </w:tr>
            <w:tr w14:paraId="10359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7A253F96">
                  <w:pPr>
                    <w:jc w:val="center"/>
                    <w:rPr>
                      <w:i/>
                      <w:szCs w:val="21"/>
                    </w:rPr>
                  </w:pPr>
                  <w:r>
                    <w:rPr>
                      <w:szCs w:val="24"/>
                    </w:rPr>
                    <w:t>0.</w:t>
                  </w:r>
                  <w:r>
                    <w:rPr>
                      <w:rFonts w:hint="eastAsia"/>
                      <w:szCs w:val="24"/>
                    </w:rPr>
                    <w:t>1</w:t>
                  </w:r>
                  <w:r>
                    <w:rPr>
                      <w:i/>
                      <w:szCs w:val="24"/>
                    </w:rPr>
                    <w:t>I</w:t>
                  </w:r>
                  <w:r>
                    <w:rPr>
                      <w:rFonts w:hint="eastAsia"/>
                      <w:szCs w:val="21"/>
                      <w:vertAlign w:val="subscript"/>
                    </w:rPr>
                    <w:t>n</w:t>
                  </w:r>
                </w:p>
              </w:tc>
              <w:tc>
                <w:tcPr>
                  <w:tcW w:w="1103" w:type="dxa"/>
                  <w:vMerge w:val="continue"/>
                  <w:vAlign w:val="center"/>
                </w:tcPr>
                <w:p w14:paraId="020556E1">
                  <w:pPr>
                    <w:jc w:val="center"/>
                    <w:rPr>
                      <w:i/>
                      <w:szCs w:val="21"/>
                    </w:rPr>
                  </w:pPr>
                </w:p>
              </w:tc>
              <w:tc>
                <w:tcPr>
                  <w:tcW w:w="1165" w:type="dxa"/>
                  <w:vAlign w:val="center"/>
                </w:tcPr>
                <w:p w14:paraId="21E2B31B">
                  <w:pPr>
                    <w:jc w:val="center"/>
                    <w:rPr>
                      <w:rFonts w:hint="eastAsia" w:ascii="宋体" w:hAnsi="宋体"/>
                      <w:szCs w:val="21"/>
                    </w:rPr>
                  </w:pPr>
                </w:p>
              </w:tc>
              <w:tc>
                <w:tcPr>
                  <w:tcW w:w="1068" w:type="dxa"/>
                  <w:vAlign w:val="center"/>
                </w:tcPr>
                <w:p w14:paraId="10FDE396">
                  <w:pPr>
                    <w:jc w:val="center"/>
                    <w:rPr>
                      <w:rFonts w:hint="eastAsia" w:ascii="宋体" w:hAnsi="宋体"/>
                      <w:szCs w:val="21"/>
                    </w:rPr>
                  </w:pPr>
                </w:p>
              </w:tc>
              <w:tc>
                <w:tcPr>
                  <w:tcW w:w="2233" w:type="dxa"/>
                  <w:vAlign w:val="center"/>
                </w:tcPr>
                <w:p w14:paraId="7710B4A0">
                  <w:pPr>
                    <w:jc w:val="center"/>
                    <w:rPr>
                      <w:rFonts w:hint="eastAsia" w:ascii="宋体" w:hAnsi="宋体"/>
                      <w:szCs w:val="21"/>
                    </w:rPr>
                  </w:pPr>
                </w:p>
              </w:tc>
              <w:tc>
                <w:tcPr>
                  <w:tcW w:w="2233" w:type="dxa"/>
                  <w:vAlign w:val="center"/>
                </w:tcPr>
                <w:p w14:paraId="56EE54BC">
                  <w:pPr>
                    <w:jc w:val="center"/>
                    <w:rPr>
                      <w:rFonts w:hint="eastAsia" w:ascii="宋体" w:hAnsi="宋体"/>
                      <w:szCs w:val="21"/>
                    </w:rPr>
                  </w:pPr>
                </w:p>
              </w:tc>
            </w:tr>
            <w:tr w14:paraId="28537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4E7EE718">
                  <w:pPr>
                    <w:jc w:val="center"/>
                    <w:rPr>
                      <w:i/>
                      <w:szCs w:val="21"/>
                    </w:rPr>
                  </w:pPr>
                  <w:r>
                    <w:rPr>
                      <w:i/>
                      <w:szCs w:val="24"/>
                    </w:rPr>
                    <w:t>I</w:t>
                  </w:r>
                  <w:r>
                    <w:rPr>
                      <w:szCs w:val="21"/>
                      <w:vertAlign w:val="subscript"/>
                    </w:rPr>
                    <w:t>min</w:t>
                  </w:r>
                </w:p>
              </w:tc>
              <w:tc>
                <w:tcPr>
                  <w:tcW w:w="1103" w:type="dxa"/>
                  <w:vMerge w:val="continue"/>
                  <w:vAlign w:val="center"/>
                </w:tcPr>
                <w:p w14:paraId="757465F2">
                  <w:pPr>
                    <w:jc w:val="center"/>
                    <w:rPr>
                      <w:i/>
                      <w:szCs w:val="21"/>
                    </w:rPr>
                  </w:pPr>
                </w:p>
              </w:tc>
              <w:tc>
                <w:tcPr>
                  <w:tcW w:w="1165" w:type="dxa"/>
                  <w:vAlign w:val="center"/>
                </w:tcPr>
                <w:p w14:paraId="0D77FA24">
                  <w:pPr>
                    <w:jc w:val="center"/>
                    <w:rPr>
                      <w:rFonts w:hint="eastAsia" w:ascii="宋体" w:hAnsi="宋体"/>
                      <w:szCs w:val="21"/>
                    </w:rPr>
                  </w:pPr>
                </w:p>
              </w:tc>
              <w:tc>
                <w:tcPr>
                  <w:tcW w:w="1068" w:type="dxa"/>
                  <w:vAlign w:val="center"/>
                </w:tcPr>
                <w:p w14:paraId="4EC3E90E">
                  <w:pPr>
                    <w:jc w:val="center"/>
                    <w:rPr>
                      <w:rFonts w:hint="eastAsia" w:ascii="宋体" w:hAnsi="宋体"/>
                      <w:szCs w:val="21"/>
                    </w:rPr>
                  </w:pPr>
                </w:p>
              </w:tc>
              <w:tc>
                <w:tcPr>
                  <w:tcW w:w="2233" w:type="dxa"/>
                  <w:vAlign w:val="center"/>
                </w:tcPr>
                <w:p w14:paraId="4CD09DD8">
                  <w:pPr>
                    <w:jc w:val="center"/>
                    <w:rPr>
                      <w:rFonts w:hint="eastAsia" w:ascii="宋体" w:hAnsi="宋体"/>
                      <w:szCs w:val="21"/>
                    </w:rPr>
                  </w:pPr>
                </w:p>
              </w:tc>
              <w:tc>
                <w:tcPr>
                  <w:tcW w:w="2233" w:type="dxa"/>
                  <w:vAlign w:val="center"/>
                </w:tcPr>
                <w:p w14:paraId="7A44468D">
                  <w:pPr>
                    <w:jc w:val="center"/>
                    <w:rPr>
                      <w:rFonts w:hint="eastAsia" w:ascii="宋体" w:hAnsi="宋体"/>
                      <w:szCs w:val="21"/>
                    </w:rPr>
                  </w:pPr>
                </w:p>
              </w:tc>
            </w:tr>
            <w:tr w14:paraId="6C1B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gridSpan w:val="3"/>
                  <w:vAlign w:val="center"/>
                </w:tcPr>
                <w:p w14:paraId="4A826E60">
                  <w:pPr>
                    <w:jc w:val="center"/>
                    <w:rPr>
                      <w:rFonts w:hint="eastAsia" w:ascii="宋体" w:hAnsi="宋体"/>
                      <w:szCs w:val="21"/>
                    </w:rPr>
                  </w:pPr>
                  <w:r>
                    <w:rPr>
                      <w:rFonts w:hint="eastAsia" w:ascii="宋体" w:hAnsi="宋体"/>
                      <w:color w:val="000000"/>
                      <w:szCs w:val="21"/>
                    </w:rPr>
                    <w:t>检定结论及说明</w:t>
                  </w:r>
                </w:p>
              </w:tc>
              <w:tc>
                <w:tcPr>
                  <w:tcW w:w="5534" w:type="dxa"/>
                  <w:gridSpan w:val="3"/>
                  <w:vAlign w:val="center"/>
                </w:tcPr>
                <w:p w14:paraId="08D12C0D">
                  <w:pPr>
                    <w:jc w:val="center"/>
                    <w:rPr>
                      <w:rFonts w:hint="eastAsia" w:ascii="宋体" w:hAnsi="宋体"/>
                      <w:szCs w:val="21"/>
                    </w:rPr>
                  </w:pPr>
                </w:p>
                <w:p w14:paraId="5B9393A9">
                  <w:pPr>
                    <w:jc w:val="center"/>
                    <w:rPr>
                      <w:rFonts w:hint="eastAsia" w:ascii="宋体" w:hAnsi="宋体"/>
                      <w:szCs w:val="21"/>
                    </w:rPr>
                  </w:pPr>
                </w:p>
                <w:p w14:paraId="4794A94A">
                  <w:pPr>
                    <w:jc w:val="center"/>
                    <w:rPr>
                      <w:rFonts w:hint="eastAsia" w:ascii="宋体" w:hAnsi="宋体"/>
                      <w:szCs w:val="21"/>
                    </w:rPr>
                  </w:pPr>
                </w:p>
                <w:p w14:paraId="2D2F4F21">
                  <w:pPr>
                    <w:jc w:val="center"/>
                    <w:rPr>
                      <w:rFonts w:hint="eastAsia" w:ascii="宋体" w:hAnsi="宋体"/>
                      <w:szCs w:val="21"/>
                    </w:rPr>
                  </w:pPr>
                  <w:r>
                    <w:rPr>
                      <w:rFonts w:hint="eastAsia" w:ascii="宋体" w:hAnsi="宋体"/>
                      <w:szCs w:val="21"/>
                    </w:rPr>
                    <w:t>□合格 / □不合格</w:t>
                  </w:r>
                </w:p>
                <w:p w14:paraId="0AFB7743">
                  <w:pPr>
                    <w:jc w:val="center"/>
                    <w:rPr>
                      <w:rFonts w:hint="eastAsia" w:ascii="宋体" w:hAnsi="宋体"/>
                      <w:szCs w:val="21"/>
                    </w:rPr>
                  </w:pPr>
                </w:p>
              </w:tc>
            </w:tr>
          </w:tbl>
          <w:p w14:paraId="6451DE5E">
            <w:pPr>
              <w:adjustRightInd w:val="0"/>
              <w:snapToGrid w:val="0"/>
              <w:rPr>
                <w:sz w:val="24"/>
                <w:szCs w:val="24"/>
              </w:rPr>
            </w:pPr>
          </w:p>
        </w:tc>
      </w:tr>
    </w:tbl>
    <w:p w14:paraId="4EB92D82">
      <w:pPr>
        <w:spacing w:line="300" w:lineRule="auto"/>
        <w:rPr>
          <w:b/>
          <w:sz w:val="24"/>
          <w:szCs w:val="24"/>
        </w:rPr>
      </w:pPr>
    </w:p>
    <w:p w14:paraId="3113A9B9">
      <w:pPr>
        <w:spacing w:line="300" w:lineRule="auto"/>
        <w:ind w:firstLine="240" w:firstLineChars="100"/>
        <w:rPr>
          <w:b/>
          <w:sz w:val="24"/>
          <w:szCs w:val="24"/>
        </w:rPr>
      </w:pPr>
      <w:r>
        <w:rPr>
          <w:rFonts w:hint="eastAsia"/>
          <w:b/>
          <w:sz w:val="24"/>
          <w:szCs w:val="24"/>
        </w:rPr>
        <w:t xml:space="preserve">检定员： </w:t>
      </w:r>
      <w:r>
        <w:rPr>
          <w:b/>
          <w:sz w:val="24"/>
          <w:szCs w:val="24"/>
        </w:rPr>
        <w:t xml:space="preserve">          </w:t>
      </w:r>
      <w:r>
        <w:rPr>
          <w:rFonts w:hint="eastAsia"/>
          <w:b/>
          <w:sz w:val="24"/>
          <w:szCs w:val="24"/>
        </w:rPr>
        <w:t xml:space="preserve">核验员： </w:t>
      </w:r>
      <w:r>
        <w:rPr>
          <w:b/>
          <w:sz w:val="24"/>
          <w:szCs w:val="24"/>
        </w:rPr>
        <w:t xml:space="preserve">                    </w:t>
      </w:r>
      <w:r>
        <w:rPr>
          <w:rFonts w:hint="eastAsia"/>
          <w:b/>
          <w:sz w:val="24"/>
          <w:szCs w:val="24"/>
        </w:rPr>
        <w:t xml:space="preserve">检定日期： </w:t>
      </w:r>
      <w:r>
        <w:rPr>
          <w:b/>
          <w:sz w:val="24"/>
          <w:szCs w:val="24"/>
        </w:rPr>
        <w:t xml:space="preserve">   </w:t>
      </w:r>
      <w:r>
        <w:rPr>
          <w:rFonts w:hint="eastAsia"/>
          <w:b/>
          <w:sz w:val="24"/>
          <w:szCs w:val="24"/>
        </w:rPr>
        <w:t xml:space="preserve">年 </w:t>
      </w:r>
      <w:r>
        <w:rPr>
          <w:b/>
          <w:sz w:val="24"/>
          <w:szCs w:val="24"/>
        </w:rPr>
        <w:t xml:space="preserve">  </w:t>
      </w:r>
      <w:r>
        <w:rPr>
          <w:rFonts w:hint="eastAsia"/>
          <w:b/>
          <w:sz w:val="24"/>
          <w:szCs w:val="24"/>
        </w:rPr>
        <w:t xml:space="preserve">月 </w:t>
      </w:r>
      <w:r>
        <w:rPr>
          <w:b/>
          <w:sz w:val="24"/>
          <w:szCs w:val="24"/>
        </w:rPr>
        <w:t xml:space="preserve">  </w:t>
      </w:r>
      <w:r>
        <w:rPr>
          <w:rFonts w:hint="eastAsia"/>
          <w:b/>
          <w:sz w:val="24"/>
          <w:szCs w:val="24"/>
        </w:rPr>
        <w:t>日</w:t>
      </w:r>
    </w:p>
    <w:p w14:paraId="5A62DB59">
      <w:pPr>
        <w:spacing w:line="300" w:lineRule="auto"/>
        <w:rPr>
          <w:b/>
          <w:sz w:val="24"/>
          <w:szCs w:val="24"/>
        </w:rPr>
      </w:pPr>
    </w:p>
    <w:p w14:paraId="1D85C791">
      <w:pPr>
        <w:snapToGrid w:val="0"/>
        <w:spacing w:before="156" w:beforeLines="50"/>
        <w:jc w:val="center"/>
        <w:rPr>
          <w:b/>
          <w:sz w:val="24"/>
          <w:szCs w:val="24"/>
        </w:rPr>
      </w:pPr>
      <w:r>
        <w:rPr>
          <w:rFonts w:hint="eastAsia"/>
        </w:rPr>
        <w:t xml:space="preserve">第 </w:t>
      </w:r>
      <w:r>
        <w:t xml:space="preserve">  </w:t>
      </w:r>
      <w:r>
        <w:rPr>
          <w:rFonts w:hint="eastAsia"/>
        </w:rPr>
        <w:t>页</w:t>
      </w:r>
      <w:r>
        <w:t xml:space="preserve">  </w:t>
      </w:r>
      <w:r>
        <w:rPr>
          <w:rFonts w:hint="eastAsia"/>
        </w:rPr>
        <w:t>共   页</w:t>
      </w:r>
    </w:p>
    <w:p w14:paraId="7E9D762C">
      <w:pPr>
        <w:spacing w:line="300" w:lineRule="auto"/>
        <w:outlineLvl w:val="0"/>
        <w:rPr>
          <w:rFonts w:eastAsia="黑体"/>
          <w:sz w:val="28"/>
          <w:szCs w:val="28"/>
        </w:rPr>
      </w:pPr>
      <w:r>
        <w:rPr>
          <w:b/>
          <w:sz w:val="24"/>
          <w:szCs w:val="24"/>
        </w:rPr>
        <w:br w:type="page"/>
      </w:r>
      <w:bookmarkStart w:id="77" w:name="_Toc131942768"/>
      <w:bookmarkStart w:id="78" w:name="_Toc209090357"/>
      <w:bookmarkStart w:id="79" w:name="_Toc131374669"/>
      <w:r>
        <w:rPr>
          <w:rFonts w:eastAsia="黑体"/>
          <w:sz w:val="28"/>
          <w:szCs w:val="28"/>
        </w:rPr>
        <w:t>附录C 检定证书/检定结果通知书内页格式（第2页）</w:t>
      </w:r>
      <w:bookmarkEnd w:id="77"/>
      <w:bookmarkEnd w:id="78"/>
      <w:bookmarkEnd w:id="79"/>
    </w:p>
    <w:p w14:paraId="79CB6E2B">
      <w:pPr>
        <w:spacing w:line="300" w:lineRule="auto"/>
        <w:jc w:val="center"/>
        <w:rPr>
          <w:rFonts w:ascii="黑体" w:eastAsia="黑体"/>
          <w:sz w:val="28"/>
          <w:szCs w:val="28"/>
        </w:rPr>
      </w:pPr>
      <w:r>
        <w:rPr>
          <w:rFonts w:hint="eastAsia" w:ascii="宋体"/>
          <w:szCs w:val="48"/>
        </w:rPr>
        <w:t>证书编号 XXXXXX-XXXX</w:t>
      </w:r>
    </w:p>
    <w:tbl>
      <w:tblPr>
        <w:tblStyle w:val="33"/>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319"/>
        <w:gridCol w:w="180"/>
        <w:gridCol w:w="1433"/>
        <w:gridCol w:w="187"/>
        <w:gridCol w:w="1080"/>
        <w:gridCol w:w="720"/>
        <w:gridCol w:w="1440"/>
        <w:gridCol w:w="1673"/>
      </w:tblGrid>
      <w:tr w14:paraId="333786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861" w:hRule="atLeast"/>
          <w:jc w:val="center"/>
        </w:trPr>
        <w:tc>
          <w:tcPr>
            <w:tcW w:w="8032" w:type="dxa"/>
            <w:gridSpan w:val="8"/>
            <w:tcBorders>
              <w:top w:val="single" w:color="000000" w:sz="4" w:space="0"/>
              <w:left w:val="single" w:color="000000" w:sz="4" w:space="0"/>
              <w:bottom w:val="single" w:color="000000" w:sz="4" w:space="0"/>
              <w:right w:val="single" w:color="000000" w:sz="4" w:space="0"/>
            </w:tcBorders>
          </w:tcPr>
          <w:p w14:paraId="0C4E4EF3">
            <w:pPr>
              <w:widowControl/>
              <w:tabs>
                <w:tab w:val="left" w:pos="-3024"/>
                <w:tab w:val="left" w:pos="8948"/>
              </w:tabs>
              <w:snapToGrid w:val="0"/>
              <w:spacing w:line="0" w:lineRule="atLeast"/>
              <w:ind w:right="25" w:rightChars="12"/>
              <w:rPr>
                <w:szCs w:val="21"/>
              </w:rPr>
            </w:pPr>
            <w:r>
              <w:rPr>
                <w:rFonts w:hint="eastAsia"/>
                <w:szCs w:val="21"/>
              </w:rPr>
              <w:t>检定机构授权说明</w:t>
            </w:r>
          </w:p>
        </w:tc>
      </w:tr>
      <w:tr w14:paraId="7309814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97" w:hRule="atLeast"/>
          <w:jc w:val="center"/>
        </w:trPr>
        <w:tc>
          <w:tcPr>
            <w:tcW w:w="8032" w:type="dxa"/>
            <w:gridSpan w:val="8"/>
            <w:tcBorders>
              <w:top w:val="single" w:color="000000" w:sz="4" w:space="0"/>
              <w:left w:val="single" w:color="000000" w:sz="4" w:space="0"/>
              <w:bottom w:val="single" w:color="000000" w:sz="4" w:space="0"/>
              <w:right w:val="single" w:color="000000" w:sz="4" w:space="0"/>
            </w:tcBorders>
            <w:vAlign w:val="center"/>
          </w:tcPr>
          <w:p w14:paraId="742964B6">
            <w:pPr>
              <w:widowControl/>
              <w:tabs>
                <w:tab w:val="left" w:pos="-3024"/>
                <w:tab w:val="left" w:pos="8948"/>
              </w:tabs>
              <w:snapToGrid w:val="0"/>
              <w:spacing w:line="0" w:lineRule="atLeast"/>
              <w:ind w:right="25" w:rightChars="12"/>
              <w:rPr>
                <w:szCs w:val="21"/>
              </w:rPr>
            </w:pPr>
            <w:r>
              <w:rPr>
                <w:rFonts w:hint="eastAsia"/>
                <w:szCs w:val="21"/>
              </w:rPr>
              <w:t>检定环境条件及地点：</w:t>
            </w:r>
          </w:p>
        </w:tc>
      </w:tr>
      <w:tr w14:paraId="34D1E7B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00" w:hRule="atLeast"/>
          <w:jc w:val="center"/>
        </w:trPr>
        <w:tc>
          <w:tcPr>
            <w:tcW w:w="1319" w:type="dxa"/>
            <w:tcBorders>
              <w:top w:val="single" w:color="000000" w:sz="4" w:space="0"/>
              <w:left w:val="single" w:color="000000" w:sz="4" w:space="0"/>
              <w:bottom w:val="single" w:color="000000" w:sz="4" w:space="0"/>
              <w:right w:val="single" w:color="000000" w:sz="4" w:space="0"/>
            </w:tcBorders>
            <w:vAlign w:val="center"/>
          </w:tcPr>
          <w:p w14:paraId="4EB1F8BB">
            <w:pPr>
              <w:widowControl/>
              <w:tabs>
                <w:tab w:val="left" w:pos="-3024"/>
                <w:tab w:val="left" w:pos="8948"/>
              </w:tabs>
              <w:snapToGrid w:val="0"/>
              <w:spacing w:line="0" w:lineRule="atLeast"/>
              <w:ind w:right="25" w:rightChars="12"/>
              <w:rPr>
                <w:szCs w:val="21"/>
              </w:rPr>
            </w:pPr>
            <w:r>
              <w:rPr>
                <w:rFonts w:hint="eastAsia"/>
                <w:szCs w:val="21"/>
              </w:rPr>
              <w:t>温    度</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14:paraId="1C9FF9B9">
            <w:pPr>
              <w:widowControl/>
              <w:tabs>
                <w:tab w:val="left" w:pos="-3024"/>
                <w:tab w:val="left" w:pos="8948"/>
              </w:tabs>
              <w:snapToGrid w:val="0"/>
              <w:spacing w:line="0" w:lineRule="atLeast"/>
              <w:ind w:right="25" w:rightChars="12" w:firstLine="1155" w:firstLineChars="550"/>
              <w:rPr>
                <w:szCs w:val="21"/>
              </w:rPr>
            </w:pPr>
            <w:r>
              <w:rPr>
                <w:rFonts w:hint="eastAsia" w:hAnsi="宋体"/>
                <w:szCs w:val="21"/>
              </w:rPr>
              <w:t>℃</w:t>
            </w:r>
          </w:p>
        </w:tc>
        <w:tc>
          <w:tcPr>
            <w:tcW w:w="1080" w:type="dxa"/>
            <w:tcBorders>
              <w:top w:val="single" w:color="000000" w:sz="4" w:space="0"/>
              <w:left w:val="single" w:color="000000" w:sz="4" w:space="0"/>
              <w:bottom w:val="single" w:color="000000" w:sz="4" w:space="0"/>
              <w:right w:val="single" w:color="000000" w:sz="4" w:space="0"/>
            </w:tcBorders>
            <w:vAlign w:val="center"/>
          </w:tcPr>
          <w:p w14:paraId="403BF53D">
            <w:pPr>
              <w:widowControl/>
              <w:tabs>
                <w:tab w:val="left" w:pos="-3024"/>
                <w:tab w:val="left" w:pos="8948"/>
              </w:tabs>
              <w:snapToGrid w:val="0"/>
              <w:spacing w:line="0" w:lineRule="atLeast"/>
              <w:ind w:right="25" w:rightChars="12"/>
              <w:rPr>
                <w:szCs w:val="21"/>
              </w:rPr>
            </w:pPr>
            <w:r>
              <w:rPr>
                <w:rFonts w:hint="eastAsia"/>
                <w:szCs w:val="21"/>
              </w:rPr>
              <w:t>地   点</w:t>
            </w:r>
          </w:p>
        </w:tc>
        <w:tc>
          <w:tcPr>
            <w:tcW w:w="3833" w:type="dxa"/>
            <w:gridSpan w:val="3"/>
            <w:tcBorders>
              <w:top w:val="single" w:color="000000" w:sz="4" w:space="0"/>
              <w:left w:val="single" w:color="000000" w:sz="4" w:space="0"/>
              <w:bottom w:val="single" w:color="000000" w:sz="4" w:space="0"/>
              <w:right w:val="single" w:color="000000" w:sz="4" w:space="0"/>
            </w:tcBorders>
            <w:vAlign w:val="center"/>
          </w:tcPr>
          <w:p w14:paraId="573C067E">
            <w:pPr>
              <w:widowControl/>
              <w:tabs>
                <w:tab w:val="left" w:pos="-3024"/>
                <w:tab w:val="left" w:pos="8948"/>
              </w:tabs>
              <w:snapToGrid w:val="0"/>
              <w:spacing w:line="0" w:lineRule="atLeast"/>
              <w:ind w:right="25" w:rightChars="12"/>
              <w:rPr>
                <w:szCs w:val="21"/>
              </w:rPr>
            </w:pPr>
          </w:p>
        </w:tc>
      </w:tr>
      <w:tr w14:paraId="7EF9FED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52" w:hRule="atLeast"/>
          <w:jc w:val="center"/>
        </w:trPr>
        <w:tc>
          <w:tcPr>
            <w:tcW w:w="1319" w:type="dxa"/>
            <w:tcBorders>
              <w:top w:val="single" w:color="000000" w:sz="4" w:space="0"/>
              <w:left w:val="single" w:color="000000" w:sz="4" w:space="0"/>
              <w:bottom w:val="single" w:color="000000" w:sz="4" w:space="0"/>
              <w:right w:val="single" w:color="000000" w:sz="4" w:space="0"/>
            </w:tcBorders>
            <w:vAlign w:val="center"/>
          </w:tcPr>
          <w:p w14:paraId="73B420F0">
            <w:pPr>
              <w:widowControl/>
              <w:tabs>
                <w:tab w:val="left" w:pos="-3024"/>
                <w:tab w:val="left" w:pos="8948"/>
              </w:tabs>
              <w:snapToGrid w:val="0"/>
              <w:spacing w:line="0" w:lineRule="atLeast"/>
              <w:ind w:right="25" w:rightChars="12"/>
              <w:rPr>
                <w:szCs w:val="21"/>
              </w:rPr>
            </w:pPr>
            <w:r>
              <w:rPr>
                <w:rFonts w:hint="eastAsia"/>
                <w:szCs w:val="21"/>
              </w:rPr>
              <w:t>相对湿度</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14:paraId="60608AE0">
            <w:pPr>
              <w:widowControl/>
              <w:tabs>
                <w:tab w:val="left" w:pos="-3024"/>
                <w:tab w:val="left" w:pos="8948"/>
              </w:tabs>
              <w:snapToGrid w:val="0"/>
              <w:spacing w:line="0" w:lineRule="atLeast"/>
              <w:ind w:right="25" w:rightChars="12" w:firstLine="1260" w:firstLineChars="600"/>
              <w:rPr>
                <w:szCs w:val="21"/>
              </w:rPr>
            </w:pPr>
            <w:r>
              <w:rPr>
                <w:rFonts w:hint="eastAsia"/>
                <w:szCs w:val="21"/>
              </w:rPr>
              <w:t xml:space="preserve">% </w:t>
            </w:r>
          </w:p>
        </w:tc>
        <w:tc>
          <w:tcPr>
            <w:tcW w:w="1080" w:type="dxa"/>
            <w:tcBorders>
              <w:top w:val="single" w:color="000000" w:sz="4" w:space="0"/>
              <w:left w:val="single" w:color="000000" w:sz="4" w:space="0"/>
              <w:bottom w:val="single" w:color="000000" w:sz="4" w:space="0"/>
              <w:right w:val="single" w:color="000000" w:sz="4" w:space="0"/>
            </w:tcBorders>
            <w:vAlign w:val="center"/>
          </w:tcPr>
          <w:p w14:paraId="72BC9E98">
            <w:pPr>
              <w:widowControl/>
              <w:tabs>
                <w:tab w:val="left" w:pos="-3024"/>
                <w:tab w:val="left" w:pos="8948"/>
              </w:tabs>
              <w:snapToGrid w:val="0"/>
              <w:spacing w:line="0" w:lineRule="atLeast"/>
              <w:ind w:right="25" w:rightChars="12"/>
              <w:rPr>
                <w:szCs w:val="21"/>
              </w:rPr>
            </w:pPr>
            <w:r>
              <w:rPr>
                <w:rFonts w:hint="eastAsia"/>
                <w:szCs w:val="21"/>
              </w:rPr>
              <w:t>其   他</w:t>
            </w:r>
          </w:p>
        </w:tc>
        <w:tc>
          <w:tcPr>
            <w:tcW w:w="3833" w:type="dxa"/>
            <w:gridSpan w:val="3"/>
            <w:tcBorders>
              <w:top w:val="single" w:color="000000" w:sz="4" w:space="0"/>
              <w:left w:val="single" w:color="000000" w:sz="4" w:space="0"/>
              <w:bottom w:val="single" w:color="000000" w:sz="4" w:space="0"/>
              <w:right w:val="single" w:color="000000" w:sz="4" w:space="0"/>
            </w:tcBorders>
            <w:vAlign w:val="center"/>
          </w:tcPr>
          <w:p w14:paraId="491D2AA6">
            <w:pPr>
              <w:widowControl/>
              <w:tabs>
                <w:tab w:val="left" w:pos="-3024"/>
                <w:tab w:val="left" w:pos="8948"/>
              </w:tabs>
              <w:snapToGrid w:val="0"/>
              <w:spacing w:line="0" w:lineRule="atLeast"/>
              <w:ind w:right="25" w:rightChars="12"/>
              <w:rPr>
                <w:szCs w:val="21"/>
              </w:rPr>
            </w:pPr>
          </w:p>
        </w:tc>
      </w:tr>
      <w:tr w14:paraId="71C4BB2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97" w:hRule="atLeast"/>
          <w:jc w:val="center"/>
        </w:trPr>
        <w:tc>
          <w:tcPr>
            <w:tcW w:w="8032" w:type="dxa"/>
            <w:gridSpan w:val="8"/>
            <w:tcBorders>
              <w:top w:val="single" w:color="000000" w:sz="4" w:space="0"/>
              <w:left w:val="single" w:color="000000" w:sz="4" w:space="0"/>
              <w:bottom w:val="single" w:color="000000" w:sz="4" w:space="0"/>
              <w:right w:val="single" w:color="000000" w:sz="4" w:space="0"/>
            </w:tcBorders>
          </w:tcPr>
          <w:p w14:paraId="57B26475">
            <w:pPr>
              <w:rPr>
                <w:szCs w:val="21"/>
              </w:rPr>
            </w:pPr>
            <w:r>
              <w:rPr>
                <w:rFonts w:hint="eastAsia"/>
                <w:szCs w:val="21"/>
              </w:rPr>
              <w:t>检定使用的计量（基）标准装置</w:t>
            </w:r>
          </w:p>
        </w:tc>
      </w:tr>
      <w:tr w14:paraId="4A5CEF5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841" w:hRule="exact"/>
          <w:jc w:val="center"/>
        </w:trPr>
        <w:tc>
          <w:tcPr>
            <w:tcW w:w="1499" w:type="dxa"/>
            <w:gridSpan w:val="2"/>
            <w:tcBorders>
              <w:top w:val="single" w:color="000000" w:sz="4" w:space="0"/>
              <w:left w:val="single" w:color="000000" w:sz="4" w:space="0"/>
            </w:tcBorders>
            <w:vAlign w:val="center"/>
          </w:tcPr>
          <w:p w14:paraId="234C175E">
            <w:pPr>
              <w:jc w:val="center"/>
              <w:rPr>
                <w:szCs w:val="21"/>
              </w:rPr>
            </w:pPr>
            <w:r>
              <w:rPr>
                <w:rFonts w:hint="eastAsia"/>
                <w:szCs w:val="21"/>
              </w:rPr>
              <w:t>名  称</w:t>
            </w:r>
          </w:p>
        </w:tc>
        <w:tc>
          <w:tcPr>
            <w:tcW w:w="1433" w:type="dxa"/>
            <w:tcBorders>
              <w:top w:val="single" w:color="000000" w:sz="4" w:space="0"/>
            </w:tcBorders>
            <w:vAlign w:val="center"/>
          </w:tcPr>
          <w:p w14:paraId="3929291F">
            <w:pPr>
              <w:jc w:val="center"/>
            </w:pPr>
            <w:r>
              <w:rPr>
                <w:rFonts w:hint="eastAsia"/>
                <w:szCs w:val="21"/>
              </w:rPr>
              <w:t>测量范围</w:t>
            </w:r>
          </w:p>
        </w:tc>
        <w:tc>
          <w:tcPr>
            <w:tcW w:w="1987" w:type="dxa"/>
            <w:gridSpan w:val="3"/>
            <w:tcBorders>
              <w:top w:val="single" w:color="000000" w:sz="4" w:space="0"/>
            </w:tcBorders>
            <w:vAlign w:val="center"/>
          </w:tcPr>
          <w:p w14:paraId="7B1B5809">
            <w:pPr>
              <w:jc w:val="center"/>
              <w:rPr>
                <w:szCs w:val="21"/>
              </w:rPr>
            </w:pPr>
            <w:r>
              <w:rPr>
                <w:rFonts w:hint="eastAsia"/>
                <w:szCs w:val="21"/>
              </w:rPr>
              <w:t>不确定度/准确度等级/最大允许误差</w:t>
            </w:r>
          </w:p>
        </w:tc>
        <w:tc>
          <w:tcPr>
            <w:tcW w:w="1440" w:type="dxa"/>
            <w:tcBorders>
              <w:top w:val="single" w:color="000000" w:sz="4" w:space="0"/>
            </w:tcBorders>
            <w:vAlign w:val="center"/>
          </w:tcPr>
          <w:p w14:paraId="630D3FF0">
            <w:pPr>
              <w:jc w:val="center"/>
              <w:rPr>
                <w:szCs w:val="21"/>
              </w:rPr>
            </w:pPr>
            <w:r>
              <w:rPr>
                <w:rFonts w:hint="eastAsia"/>
                <w:szCs w:val="21"/>
              </w:rPr>
              <w:t>计量（基）标准证书编号</w:t>
            </w:r>
          </w:p>
        </w:tc>
        <w:tc>
          <w:tcPr>
            <w:tcW w:w="1673" w:type="dxa"/>
            <w:tcBorders>
              <w:top w:val="single" w:color="000000" w:sz="4" w:space="0"/>
              <w:right w:val="single" w:color="000000" w:sz="4" w:space="0"/>
            </w:tcBorders>
            <w:vAlign w:val="center"/>
          </w:tcPr>
          <w:p w14:paraId="0E5ABEF8">
            <w:pPr>
              <w:jc w:val="center"/>
              <w:rPr>
                <w:szCs w:val="21"/>
              </w:rPr>
            </w:pPr>
            <w:r>
              <w:rPr>
                <w:rFonts w:hint="eastAsia"/>
                <w:szCs w:val="21"/>
              </w:rPr>
              <w:t>有效期至</w:t>
            </w:r>
          </w:p>
        </w:tc>
      </w:tr>
      <w:tr w14:paraId="3444DC7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1822" w:hRule="exact"/>
          <w:jc w:val="center"/>
        </w:trPr>
        <w:tc>
          <w:tcPr>
            <w:tcW w:w="1499" w:type="dxa"/>
            <w:gridSpan w:val="2"/>
            <w:tcBorders>
              <w:left w:val="single" w:color="000000" w:sz="4" w:space="0"/>
              <w:bottom w:val="single" w:color="auto" w:sz="4" w:space="0"/>
            </w:tcBorders>
            <w:vAlign w:val="center"/>
          </w:tcPr>
          <w:p w14:paraId="6A567568">
            <w:pPr>
              <w:jc w:val="center"/>
              <w:rPr>
                <w:szCs w:val="21"/>
              </w:rPr>
            </w:pPr>
          </w:p>
          <w:p w14:paraId="11E2F558">
            <w:pPr>
              <w:jc w:val="center"/>
              <w:rPr>
                <w:szCs w:val="21"/>
              </w:rPr>
            </w:pPr>
          </w:p>
          <w:p w14:paraId="4AEAED49">
            <w:pPr>
              <w:jc w:val="center"/>
              <w:rPr>
                <w:szCs w:val="21"/>
              </w:rPr>
            </w:pPr>
          </w:p>
          <w:p w14:paraId="319DEBD4">
            <w:pPr>
              <w:jc w:val="center"/>
              <w:rPr>
                <w:szCs w:val="21"/>
              </w:rPr>
            </w:pPr>
          </w:p>
          <w:p w14:paraId="126CE37C">
            <w:pPr>
              <w:jc w:val="center"/>
              <w:rPr>
                <w:szCs w:val="21"/>
              </w:rPr>
            </w:pPr>
          </w:p>
          <w:p w14:paraId="765FB9C0">
            <w:pPr>
              <w:jc w:val="center"/>
              <w:rPr>
                <w:szCs w:val="21"/>
              </w:rPr>
            </w:pPr>
          </w:p>
        </w:tc>
        <w:tc>
          <w:tcPr>
            <w:tcW w:w="1433" w:type="dxa"/>
            <w:tcBorders>
              <w:bottom w:val="single" w:color="auto" w:sz="4" w:space="0"/>
            </w:tcBorders>
            <w:vAlign w:val="center"/>
          </w:tcPr>
          <w:p w14:paraId="5165F34F">
            <w:pPr>
              <w:jc w:val="center"/>
              <w:rPr>
                <w:szCs w:val="21"/>
              </w:rPr>
            </w:pPr>
          </w:p>
        </w:tc>
        <w:tc>
          <w:tcPr>
            <w:tcW w:w="1987" w:type="dxa"/>
            <w:gridSpan w:val="3"/>
            <w:tcBorders>
              <w:bottom w:val="single" w:color="auto" w:sz="4" w:space="0"/>
            </w:tcBorders>
            <w:vAlign w:val="center"/>
          </w:tcPr>
          <w:p w14:paraId="4F340194">
            <w:pPr>
              <w:jc w:val="center"/>
              <w:rPr>
                <w:szCs w:val="21"/>
              </w:rPr>
            </w:pPr>
          </w:p>
        </w:tc>
        <w:tc>
          <w:tcPr>
            <w:tcW w:w="1440" w:type="dxa"/>
            <w:tcBorders>
              <w:bottom w:val="single" w:color="auto" w:sz="4" w:space="0"/>
            </w:tcBorders>
            <w:vAlign w:val="center"/>
          </w:tcPr>
          <w:p w14:paraId="192D697A">
            <w:pPr>
              <w:jc w:val="center"/>
              <w:rPr>
                <w:szCs w:val="21"/>
              </w:rPr>
            </w:pPr>
          </w:p>
        </w:tc>
        <w:tc>
          <w:tcPr>
            <w:tcW w:w="1673" w:type="dxa"/>
            <w:tcBorders>
              <w:bottom w:val="single" w:color="auto" w:sz="4" w:space="0"/>
              <w:right w:val="single" w:color="000000" w:sz="4" w:space="0"/>
            </w:tcBorders>
            <w:vAlign w:val="center"/>
          </w:tcPr>
          <w:p w14:paraId="7E343792">
            <w:pPr>
              <w:jc w:val="center"/>
              <w:rPr>
                <w:szCs w:val="21"/>
              </w:rPr>
            </w:pPr>
          </w:p>
        </w:tc>
      </w:tr>
      <w:tr w14:paraId="099A3CF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97" w:hRule="exact"/>
          <w:jc w:val="center"/>
        </w:trPr>
        <w:tc>
          <w:tcPr>
            <w:tcW w:w="8032" w:type="dxa"/>
            <w:gridSpan w:val="8"/>
            <w:tcBorders>
              <w:top w:val="single" w:color="auto" w:sz="4" w:space="0"/>
              <w:left w:val="single" w:color="auto" w:sz="4" w:space="0"/>
              <w:bottom w:val="single" w:color="auto" w:sz="4" w:space="0"/>
              <w:right w:val="single" w:color="auto" w:sz="4" w:space="0"/>
            </w:tcBorders>
            <w:vAlign w:val="center"/>
          </w:tcPr>
          <w:p w14:paraId="50CAA7F5">
            <w:pPr>
              <w:rPr>
                <w:szCs w:val="21"/>
              </w:rPr>
            </w:pPr>
            <w:r>
              <w:rPr>
                <w:rFonts w:hint="eastAsia"/>
                <w:szCs w:val="21"/>
              </w:rPr>
              <w:t>检定使用的标准器</w:t>
            </w:r>
          </w:p>
        </w:tc>
      </w:tr>
      <w:tr w14:paraId="59F1A2A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868" w:hRule="exact"/>
          <w:jc w:val="center"/>
        </w:trPr>
        <w:tc>
          <w:tcPr>
            <w:tcW w:w="1499" w:type="dxa"/>
            <w:gridSpan w:val="2"/>
            <w:tcBorders>
              <w:top w:val="single" w:color="auto" w:sz="4" w:space="0"/>
              <w:left w:val="single" w:color="000000" w:sz="4" w:space="0"/>
            </w:tcBorders>
            <w:vAlign w:val="center"/>
          </w:tcPr>
          <w:p w14:paraId="7D21BD33">
            <w:pPr>
              <w:jc w:val="center"/>
              <w:rPr>
                <w:szCs w:val="21"/>
              </w:rPr>
            </w:pPr>
            <w:r>
              <w:rPr>
                <w:rFonts w:hint="eastAsia"/>
                <w:szCs w:val="21"/>
              </w:rPr>
              <w:t>名  称</w:t>
            </w:r>
          </w:p>
        </w:tc>
        <w:tc>
          <w:tcPr>
            <w:tcW w:w="1433" w:type="dxa"/>
            <w:tcBorders>
              <w:top w:val="single" w:color="auto" w:sz="4" w:space="0"/>
            </w:tcBorders>
            <w:vAlign w:val="center"/>
          </w:tcPr>
          <w:p w14:paraId="126435D5">
            <w:pPr>
              <w:jc w:val="center"/>
              <w:rPr>
                <w:szCs w:val="21"/>
              </w:rPr>
            </w:pPr>
            <w:r>
              <w:rPr>
                <w:rFonts w:hint="eastAsia"/>
                <w:szCs w:val="21"/>
              </w:rPr>
              <w:t>测量范围</w:t>
            </w:r>
          </w:p>
        </w:tc>
        <w:tc>
          <w:tcPr>
            <w:tcW w:w="1987" w:type="dxa"/>
            <w:gridSpan w:val="3"/>
            <w:tcBorders>
              <w:top w:val="single" w:color="auto" w:sz="4" w:space="0"/>
            </w:tcBorders>
            <w:vAlign w:val="center"/>
          </w:tcPr>
          <w:p w14:paraId="2971D9DD">
            <w:pPr>
              <w:jc w:val="center"/>
              <w:rPr>
                <w:szCs w:val="21"/>
              </w:rPr>
            </w:pPr>
            <w:r>
              <w:rPr>
                <w:rFonts w:hint="eastAsia"/>
                <w:szCs w:val="21"/>
              </w:rPr>
              <w:t>不确定度/准确度等级/最大允许误差</w:t>
            </w:r>
          </w:p>
        </w:tc>
        <w:tc>
          <w:tcPr>
            <w:tcW w:w="1440" w:type="dxa"/>
            <w:tcBorders>
              <w:top w:val="single" w:color="auto" w:sz="4" w:space="0"/>
            </w:tcBorders>
            <w:vAlign w:val="center"/>
          </w:tcPr>
          <w:p w14:paraId="0FBFB094">
            <w:pPr>
              <w:jc w:val="center"/>
              <w:rPr>
                <w:szCs w:val="21"/>
              </w:rPr>
            </w:pPr>
            <w:r>
              <w:rPr>
                <w:rFonts w:hint="eastAsia"/>
                <w:szCs w:val="21"/>
              </w:rPr>
              <w:t>检定/校准证书编号</w:t>
            </w:r>
          </w:p>
        </w:tc>
        <w:tc>
          <w:tcPr>
            <w:tcW w:w="1673" w:type="dxa"/>
            <w:tcBorders>
              <w:top w:val="single" w:color="auto" w:sz="4" w:space="0"/>
              <w:right w:val="single" w:color="000000" w:sz="4" w:space="0"/>
            </w:tcBorders>
            <w:vAlign w:val="center"/>
          </w:tcPr>
          <w:p w14:paraId="47E5E792">
            <w:pPr>
              <w:jc w:val="center"/>
              <w:rPr>
                <w:szCs w:val="21"/>
              </w:rPr>
            </w:pPr>
            <w:r>
              <w:rPr>
                <w:rFonts w:hint="eastAsia"/>
                <w:szCs w:val="21"/>
              </w:rPr>
              <w:t>有效期至</w:t>
            </w:r>
          </w:p>
        </w:tc>
      </w:tr>
      <w:tr w14:paraId="2E1D7C6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602" w:hRule="exact"/>
          <w:jc w:val="center"/>
        </w:trPr>
        <w:tc>
          <w:tcPr>
            <w:tcW w:w="1499" w:type="dxa"/>
            <w:gridSpan w:val="2"/>
            <w:tcBorders>
              <w:left w:val="single" w:color="000000" w:sz="4" w:space="0"/>
              <w:bottom w:val="single" w:color="000000" w:sz="4" w:space="0"/>
            </w:tcBorders>
          </w:tcPr>
          <w:p w14:paraId="25F9DFF9">
            <w:pPr>
              <w:rPr>
                <w:szCs w:val="21"/>
              </w:rPr>
            </w:pPr>
          </w:p>
          <w:p w14:paraId="7E121E3B">
            <w:pPr>
              <w:rPr>
                <w:szCs w:val="21"/>
              </w:rPr>
            </w:pPr>
          </w:p>
        </w:tc>
        <w:tc>
          <w:tcPr>
            <w:tcW w:w="1433" w:type="dxa"/>
            <w:tcBorders>
              <w:bottom w:val="single" w:color="000000" w:sz="4" w:space="0"/>
            </w:tcBorders>
          </w:tcPr>
          <w:p w14:paraId="181EC847">
            <w:pPr>
              <w:rPr>
                <w:szCs w:val="21"/>
              </w:rPr>
            </w:pPr>
          </w:p>
        </w:tc>
        <w:tc>
          <w:tcPr>
            <w:tcW w:w="1987" w:type="dxa"/>
            <w:gridSpan w:val="3"/>
            <w:tcBorders>
              <w:bottom w:val="single" w:color="000000" w:sz="4" w:space="0"/>
            </w:tcBorders>
          </w:tcPr>
          <w:p w14:paraId="6FF61598">
            <w:pPr>
              <w:rPr>
                <w:szCs w:val="21"/>
              </w:rPr>
            </w:pPr>
          </w:p>
        </w:tc>
        <w:tc>
          <w:tcPr>
            <w:tcW w:w="1440" w:type="dxa"/>
            <w:tcBorders>
              <w:bottom w:val="single" w:color="000000" w:sz="4" w:space="0"/>
            </w:tcBorders>
          </w:tcPr>
          <w:p w14:paraId="4EA76533">
            <w:pPr>
              <w:rPr>
                <w:szCs w:val="21"/>
              </w:rPr>
            </w:pPr>
          </w:p>
        </w:tc>
        <w:tc>
          <w:tcPr>
            <w:tcW w:w="1673" w:type="dxa"/>
            <w:tcBorders>
              <w:bottom w:val="single" w:color="000000" w:sz="4" w:space="0"/>
              <w:right w:val="single" w:color="000000" w:sz="4" w:space="0"/>
            </w:tcBorders>
          </w:tcPr>
          <w:p w14:paraId="06E22E79">
            <w:pPr>
              <w:rPr>
                <w:szCs w:val="21"/>
              </w:rPr>
            </w:pPr>
          </w:p>
        </w:tc>
      </w:tr>
    </w:tbl>
    <w:p w14:paraId="3C392CFE">
      <w:pPr>
        <w:spacing w:line="300" w:lineRule="auto"/>
        <w:rPr>
          <w:sz w:val="18"/>
          <w:szCs w:val="18"/>
        </w:rPr>
      </w:pPr>
    </w:p>
    <w:p w14:paraId="787FD600">
      <w:pPr>
        <w:spacing w:line="300" w:lineRule="auto"/>
        <w:jc w:val="center"/>
        <w:rPr>
          <w:sz w:val="18"/>
          <w:szCs w:val="18"/>
        </w:rPr>
      </w:pPr>
      <w:r>
        <w:rPr>
          <w:rFonts w:hint="eastAsia"/>
          <w:sz w:val="18"/>
          <w:szCs w:val="18"/>
        </w:rPr>
        <w:t>第X页 共X页</w:t>
      </w:r>
    </w:p>
    <w:p w14:paraId="5B41B403">
      <w:pPr>
        <w:spacing w:line="300" w:lineRule="auto"/>
        <w:outlineLvl w:val="0"/>
        <w:rPr>
          <w:szCs w:val="48"/>
        </w:rPr>
      </w:pPr>
      <w:r>
        <w:rPr>
          <w:b/>
          <w:sz w:val="28"/>
          <w:szCs w:val="28"/>
        </w:rPr>
        <w:br w:type="page"/>
      </w:r>
      <w:bookmarkStart w:id="80" w:name="_Toc92016181"/>
      <w:bookmarkStart w:id="81" w:name="_Toc131374670"/>
      <w:bookmarkStart w:id="82" w:name="_Toc131942769"/>
      <w:bookmarkStart w:id="83" w:name="_Toc209090358"/>
      <w:r>
        <w:rPr>
          <w:rFonts w:eastAsia="黑体"/>
          <w:sz w:val="28"/>
          <w:szCs w:val="28"/>
        </w:rPr>
        <w:t>附录D 检定证书/检定结果通知书检定结果页式样（第3页）</w:t>
      </w:r>
      <w:bookmarkEnd w:id="80"/>
      <w:bookmarkEnd w:id="81"/>
      <w:bookmarkEnd w:id="82"/>
      <w:bookmarkEnd w:id="83"/>
    </w:p>
    <w:p w14:paraId="02A3B43B">
      <w:pPr>
        <w:rPr>
          <w:rFonts w:hint="eastAsia" w:ascii="宋体" w:hAnsi="宋体"/>
          <w:sz w:val="24"/>
          <w:szCs w:val="24"/>
        </w:rPr>
      </w:pPr>
    </w:p>
    <w:p w14:paraId="5D45E671">
      <w:pPr>
        <w:rPr>
          <w:rFonts w:hint="eastAsia" w:ascii="宋体" w:hAnsi="宋体"/>
          <w:sz w:val="24"/>
          <w:szCs w:val="24"/>
        </w:rPr>
      </w:pPr>
      <w:r>
        <w:rPr>
          <w:rFonts w:ascii="宋体" w:hAnsi="宋体"/>
          <w:sz w:val="24"/>
          <w:szCs w:val="24"/>
        </w:rPr>
        <w:t>D</w:t>
      </w:r>
      <w:r>
        <w:rPr>
          <w:rFonts w:hint="eastAsia" w:ascii="宋体" w:hAnsi="宋体"/>
          <w:sz w:val="24"/>
          <w:szCs w:val="24"/>
        </w:rPr>
        <w:t>.1检定证书第3页</w:t>
      </w:r>
    </w:p>
    <w:p w14:paraId="5DA660EE">
      <w:pPr>
        <w:jc w:val="center"/>
        <w:rPr>
          <w:rFonts w:ascii="宋体"/>
          <w:szCs w:val="48"/>
        </w:rPr>
      </w:pPr>
      <w:r>
        <w:rPr>
          <w:rFonts w:hint="eastAsia" w:ascii="宋体"/>
          <w:szCs w:val="48"/>
        </w:rPr>
        <w:t>证书编号 XXXXXX-XXXX</w:t>
      </w:r>
    </w:p>
    <w:p w14:paraId="52E1802C">
      <w:pPr>
        <w:spacing w:before="499" w:beforeLines="160" w:line="270" w:lineRule="exact"/>
        <w:jc w:val="center"/>
        <w:rPr>
          <w:rFonts w:ascii="黑体" w:eastAsia="黑体"/>
          <w:sz w:val="48"/>
          <w:szCs w:val="48"/>
        </w:rPr>
      </w:pPr>
      <w:r>
        <w:rPr>
          <w:rFonts w:hint="eastAsia" w:ascii="黑体" w:eastAsia="黑体"/>
          <w:sz w:val="48"/>
          <w:szCs w:val="48"/>
        </w:rPr>
        <w:t>检 定 结 果</w:t>
      </w:r>
    </w:p>
    <w:tbl>
      <w:tblPr>
        <w:tblStyle w:val="33"/>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8460"/>
      </w:tblGrid>
      <w:tr w14:paraId="1F702A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10433" w:hRule="exact"/>
          <w:jc w:val="center"/>
        </w:trPr>
        <w:tc>
          <w:tcPr>
            <w:tcW w:w="8460" w:type="dxa"/>
          </w:tcPr>
          <w:p w14:paraId="2FFEFF89">
            <w:pPr>
              <w:adjustRightInd w:val="0"/>
              <w:snapToGrid w:val="0"/>
              <w:spacing w:line="360" w:lineRule="auto"/>
              <w:jc w:val="left"/>
              <w:rPr>
                <w:szCs w:val="21"/>
              </w:rPr>
            </w:pPr>
          </w:p>
          <w:p w14:paraId="649E05A8">
            <w:pPr>
              <w:numPr>
                <w:ilvl w:val="0"/>
                <w:numId w:val="13"/>
              </w:numPr>
              <w:adjustRightInd w:val="0"/>
              <w:snapToGrid w:val="0"/>
              <w:spacing w:line="360" w:lineRule="auto"/>
              <w:jc w:val="left"/>
              <w:rPr>
                <w:szCs w:val="21"/>
              </w:rPr>
            </w:pPr>
            <w:r>
              <w:rPr>
                <w:rFonts w:hint="eastAsia"/>
                <w:color w:val="000000"/>
                <w:szCs w:val="21"/>
              </w:rPr>
              <w:t>外观功能检查:</w:t>
            </w:r>
          </w:p>
          <w:p w14:paraId="1D4BE489">
            <w:pPr>
              <w:numPr>
                <w:ilvl w:val="0"/>
                <w:numId w:val="13"/>
              </w:numPr>
              <w:adjustRightInd w:val="0"/>
              <w:snapToGrid w:val="0"/>
              <w:spacing w:line="360" w:lineRule="auto"/>
              <w:jc w:val="left"/>
              <w:rPr>
                <w:szCs w:val="21"/>
              </w:rPr>
            </w:pPr>
            <w:r>
              <w:rPr>
                <w:rFonts w:hint="eastAsia" w:ascii="宋体" w:hAnsi="宋体"/>
                <w:color w:val="000000"/>
                <w:szCs w:val="21"/>
              </w:rPr>
              <w:t>直流电压试验:</w:t>
            </w:r>
          </w:p>
          <w:p w14:paraId="184A3E9B">
            <w:pPr>
              <w:numPr>
                <w:ilvl w:val="0"/>
                <w:numId w:val="13"/>
              </w:numPr>
              <w:adjustRightInd w:val="0"/>
              <w:snapToGrid w:val="0"/>
              <w:spacing w:line="360" w:lineRule="auto"/>
              <w:jc w:val="left"/>
              <w:rPr>
                <w:szCs w:val="21"/>
              </w:rPr>
            </w:pPr>
            <w:r>
              <w:rPr>
                <w:rFonts w:hint="eastAsia" w:ascii="宋体" w:hAnsi="宋体"/>
                <w:color w:val="000000"/>
                <w:szCs w:val="21"/>
              </w:rPr>
              <w:t>绝缘电阻试验：</w:t>
            </w:r>
          </w:p>
          <w:p w14:paraId="038B21D5">
            <w:pPr>
              <w:numPr>
                <w:ilvl w:val="0"/>
                <w:numId w:val="13"/>
              </w:numPr>
              <w:adjustRightInd w:val="0"/>
              <w:snapToGrid w:val="0"/>
              <w:spacing w:line="360" w:lineRule="auto"/>
              <w:jc w:val="left"/>
              <w:rPr>
                <w:szCs w:val="21"/>
              </w:rPr>
            </w:pPr>
            <w:r>
              <w:rPr>
                <w:rFonts w:hint="eastAsia" w:ascii="宋体" w:hAnsi="宋体"/>
                <w:color w:val="000000"/>
                <w:szCs w:val="21"/>
              </w:rPr>
              <w:t>无负载状态试验:</w:t>
            </w:r>
          </w:p>
          <w:p w14:paraId="0B9D957D">
            <w:pPr>
              <w:numPr>
                <w:ilvl w:val="0"/>
                <w:numId w:val="13"/>
              </w:numPr>
              <w:adjustRightInd w:val="0"/>
              <w:snapToGrid w:val="0"/>
              <w:spacing w:line="360" w:lineRule="auto"/>
              <w:jc w:val="left"/>
              <w:rPr>
                <w:szCs w:val="21"/>
              </w:rPr>
            </w:pPr>
            <w:r>
              <w:rPr>
                <w:rFonts w:hint="eastAsia" w:ascii="宋体" w:hAnsi="宋体"/>
                <w:color w:val="000000"/>
                <w:szCs w:val="21"/>
              </w:rPr>
              <w:t>起动试验:</w:t>
            </w:r>
          </w:p>
          <w:p w14:paraId="377C9D39">
            <w:pPr>
              <w:numPr>
                <w:ilvl w:val="0"/>
                <w:numId w:val="13"/>
              </w:numPr>
              <w:adjustRightInd w:val="0"/>
              <w:snapToGrid w:val="0"/>
              <w:jc w:val="left"/>
              <w:rPr>
                <w:szCs w:val="21"/>
              </w:rPr>
            </w:pPr>
            <w:r>
              <w:rPr>
                <w:rFonts w:hint="eastAsia" w:ascii="宋体" w:hAnsi="宋体"/>
                <w:color w:val="000000"/>
                <w:szCs w:val="21"/>
              </w:rPr>
              <w:t>基本误差误差</w:t>
            </w:r>
          </w:p>
          <w:tbl>
            <w:tblPr>
              <w:tblStyle w:val="143"/>
              <w:tblW w:w="8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34"/>
              <w:gridCol w:w="5807"/>
            </w:tblGrid>
            <w:tr w14:paraId="532EB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2" w:type="dxa"/>
                  <w:gridSpan w:val="3"/>
                  <w:vAlign w:val="center"/>
                </w:tcPr>
                <w:p w14:paraId="42A8721E">
                  <w:pPr>
                    <w:spacing w:line="300" w:lineRule="auto"/>
                    <w:jc w:val="center"/>
                    <w:rPr>
                      <w:rFonts w:hint="eastAsia" w:ascii="宋体" w:hAnsi="宋体"/>
                      <w:color w:val="000000"/>
                      <w:szCs w:val="21"/>
                    </w:rPr>
                  </w:pPr>
                  <w:r>
                    <w:rPr>
                      <w:rFonts w:hint="eastAsia" w:ascii="宋体" w:hAnsi="宋体"/>
                      <w:color w:val="000000"/>
                      <w:szCs w:val="21"/>
                    </w:rPr>
                    <w:t>标称电压：</w:t>
                  </w:r>
                  <w:r>
                    <w:rPr>
                      <w:rFonts w:ascii="宋体" w:hAnsi="宋体"/>
                      <w:color w:val="000000"/>
                      <w:szCs w:val="21"/>
                      <w:u w:val="single"/>
                    </w:rPr>
                    <w:tab/>
                  </w:r>
                  <w:r>
                    <w:rPr>
                      <w:rFonts w:ascii="宋体" w:hAnsi="宋体"/>
                      <w:color w:val="000000"/>
                      <w:szCs w:val="21"/>
                      <w:u w:val="single"/>
                    </w:rPr>
                    <w:t xml:space="preserve">  </w:t>
                  </w:r>
                  <w:r>
                    <w:rPr>
                      <w:rFonts w:ascii="宋体" w:hAnsi="宋体"/>
                      <w:color w:val="000000"/>
                      <w:szCs w:val="21"/>
                    </w:rPr>
                    <w:t xml:space="preserve">V </w:t>
                  </w:r>
                  <w:r>
                    <w:rPr>
                      <w:rFonts w:hint="eastAsia" w:ascii="宋体" w:hAnsi="宋体"/>
                      <w:color w:val="000000"/>
                      <w:szCs w:val="21"/>
                    </w:rPr>
                    <w:t>电流：</w:t>
                  </w:r>
                  <w:r>
                    <w:rPr>
                      <w:rFonts w:ascii="宋体" w:hAnsi="宋体"/>
                      <w:color w:val="000000"/>
                      <w:szCs w:val="21"/>
                      <w:u w:val="single"/>
                    </w:rPr>
                    <w:tab/>
                  </w:r>
                  <w:r>
                    <w:rPr>
                      <w:rFonts w:ascii="宋体" w:hAnsi="宋体"/>
                      <w:color w:val="000000"/>
                      <w:szCs w:val="21"/>
                      <w:u w:val="single"/>
                    </w:rPr>
                    <w:t xml:space="preserve">   </w:t>
                  </w:r>
                  <w:r>
                    <w:rPr>
                      <w:rFonts w:ascii="宋体" w:hAnsi="宋体"/>
                      <w:color w:val="000000"/>
                      <w:szCs w:val="21"/>
                    </w:rPr>
                    <w:t xml:space="preserve">A </w:t>
                  </w:r>
                  <w:r>
                    <w:rPr>
                      <w:rFonts w:hint="eastAsia" w:ascii="宋体" w:hAnsi="宋体"/>
                      <w:color w:val="000000"/>
                      <w:szCs w:val="21"/>
                    </w:rPr>
                    <w:t>常数</w:t>
                  </w:r>
                  <w:r>
                    <w:rPr>
                      <w:rFonts w:hint="eastAsia" w:ascii="宋体" w:hAnsi="宋体"/>
                      <w:color w:val="000000"/>
                      <w:szCs w:val="21"/>
                      <w:u w:val="single"/>
                    </w:rPr>
                    <w:t>：</w:t>
                  </w:r>
                  <w:r>
                    <w:rPr>
                      <w:rFonts w:ascii="宋体" w:hAnsi="宋体"/>
                      <w:color w:val="000000"/>
                      <w:szCs w:val="21"/>
                      <w:u w:val="single"/>
                    </w:rPr>
                    <w:tab/>
                  </w:r>
                  <w:r>
                    <w:rPr>
                      <w:rFonts w:ascii="宋体" w:hAnsi="宋体"/>
                      <w:color w:val="000000"/>
                      <w:szCs w:val="21"/>
                    </w:rPr>
                    <w:t xml:space="preserve"> </w:t>
                  </w:r>
                  <w:r>
                    <w:rPr>
                      <w:rFonts w:hint="eastAsia" w:ascii="宋体" w:hAnsi="宋体"/>
                      <w:color w:val="000000"/>
                      <w:szCs w:val="21"/>
                    </w:rPr>
                    <w:t>辅助电源</w:t>
                  </w:r>
                  <w:r>
                    <w:rPr>
                      <w:rFonts w:ascii="宋体" w:hAnsi="宋体"/>
                      <w:color w:val="000000"/>
                      <w:szCs w:val="21"/>
                    </w:rPr>
                    <w:t>:</w:t>
                  </w:r>
                  <w:r>
                    <w:rPr>
                      <w:rFonts w:ascii="宋体" w:hAnsi="宋体"/>
                      <w:color w:val="000000"/>
                      <w:szCs w:val="21"/>
                      <w:u w:val="single"/>
                    </w:rPr>
                    <w:tab/>
                  </w:r>
                  <w:r>
                    <w:rPr>
                      <w:rFonts w:ascii="宋体" w:hAnsi="宋体"/>
                      <w:color w:val="000000"/>
                      <w:szCs w:val="21"/>
                      <w:u w:val="single"/>
                    </w:rPr>
                    <w:t xml:space="preserve">  </w:t>
                  </w:r>
                  <w:r>
                    <w:rPr>
                      <w:rFonts w:hint="eastAsia" w:ascii="宋体" w:hAnsi="宋体"/>
                      <w:color w:val="000000"/>
                      <w:szCs w:val="21"/>
                    </w:rPr>
                    <w:t>V</w:t>
                  </w:r>
                </w:p>
              </w:tc>
            </w:tr>
            <w:tr w14:paraId="5C9FD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2" w:type="dxa"/>
                  <w:gridSpan w:val="3"/>
                  <w:vAlign w:val="center"/>
                </w:tcPr>
                <w:p w14:paraId="432E2720">
                  <w:pPr>
                    <w:spacing w:line="300" w:lineRule="auto"/>
                    <w:jc w:val="left"/>
                    <w:rPr>
                      <w:rFonts w:hint="eastAsia" w:ascii="宋体" w:hAnsi="宋体"/>
                      <w:color w:val="000000"/>
                      <w:szCs w:val="21"/>
                    </w:rPr>
                  </w:pPr>
                  <w:r>
                    <w:rPr>
                      <w:rFonts w:hint="eastAsia"/>
                      <w:color w:val="000000"/>
                      <w:szCs w:val="21"/>
                    </w:rPr>
                    <w:t>6</w:t>
                  </w:r>
                  <w:r>
                    <w:rPr>
                      <w:color w:val="000000"/>
                      <w:szCs w:val="21"/>
                    </w:rPr>
                    <w:t>.1</w:t>
                  </w:r>
                  <w:r>
                    <w:rPr>
                      <w:rFonts w:hint="eastAsia"/>
                      <w:color w:val="000000"/>
                      <w:szCs w:val="21"/>
                    </w:rPr>
                    <w:t>基本误差</w:t>
                  </w:r>
                </w:p>
              </w:tc>
            </w:tr>
            <w:tr w14:paraId="05422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2" w:type="dxa"/>
                  <w:gridSpan w:val="3"/>
                  <w:vAlign w:val="center"/>
                </w:tcPr>
                <w:p w14:paraId="7BBC6380">
                  <w:pPr>
                    <w:spacing w:line="300" w:lineRule="auto"/>
                    <w:jc w:val="center"/>
                    <w:rPr>
                      <w:rFonts w:hint="eastAsia" w:ascii="宋体" w:hAnsi="宋体"/>
                      <w:color w:val="000000"/>
                      <w:szCs w:val="21"/>
                      <w:u w:val="single"/>
                    </w:rPr>
                  </w:pP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向电能基本误差（%）</w:t>
                  </w:r>
                </w:p>
              </w:tc>
            </w:tr>
            <w:tr w14:paraId="27DE9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54F5446A">
                  <w:pPr>
                    <w:spacing w:line="300" w:lineRule="auto"/>
                    <w:rPr>
                      <w:color w:val="000000"/>
                      <w:szCs w:val="21"/>
                    </w:rPr>
                  </w:pPr>
                  <w:r>
                    <w:rPr>
                      <w:color w:val="000000"/>
                      <w:szCs w:val="21"/>
                    </w:rPr>
                    <w:t>电流</w:t>
                  </w:r>
                  <w:r>
                    <w:rPr>
                      <w:i/>
                      <w:iCs/>
                      <w:color w:val="000000"/>
                      <w:szCs w:val="21"/>
                    </w:rPr>
                    <w:t>I</w:t>
                  </w:r>
                </w:p>
              </w:tc>
              <w:tc>
                <w:tcPr>
                  <w:tcW w:w="1134" w:type="dxa"/>
                  <w:vAlign w:val="center"/>
                </w:tcPr>
                <w:p w14:paraId="604E7212">
                  <w:pPr>
                    <w:ind w:left="-105" w:leftChars="-50"/>
                    <w:jc w:val="center"/>
                    <w:rPr>
                      <w:color w:val="000000"/>
                      <w:szCs w:val="21"/>
                    </w:rPr>
                  </w:pPr>
                  <w:r>
                    <w:rPr>
                      <w:rFonts w:hint="eastAsia"/>
                      <w:color w:val="000000"/>
                      <w:szCs w:val="21"/>
                    </w:rPr>
                    <w:t>电压</w:t>
                  </w:r>
                  <w:r>
                    <w:rPr>
                      <w:rFonts w:hint="eastAsia"/>
                      <w:i/>
                      <w:iCs/>
                      <w:color w:val="000000"/>
                      <w:szCs w:val="21"/>
                    </w:rPr>
                    <w:t>U</w:t>
                  </w:r>
                </w:p>
              </w:tc>
              <w:tc>
                <w:tcPr>
                  <w:tcW w:w="5807" w:type="dxa"/>
                  <w:vAlign w:val="center"/>
                </w:tcPr>
                <w:p w14:paraId="17295640">
                  <w:pPr>
                    <w:ind w:left="-105" w:leftChars="-50"/>
                    <w:jc w:val="center"/>
                    <w:rPr>
                      <w:color w:val="000000"/>
                      <w:szCs w:val="21"/>
                    </w:rPr>
                  </w:pPr>
                  <w:r>
                    <w:rPr>
                      <w:rFonts w:hint="eastAsia"/>
                      <w:color w:val="000000"/>
                      <w:szCs w:val="21"/>
                    </w:rPr>
                    <w:t>误差值</w:t>
                  </w:r>
                </w:p>
              </w:tc>
            </w:tr>
            <w:tr w14:paraId="5C5B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20F644D0">
                  <w:pPr>
                    <w:rPr>
                      <w:szCs w:val="21"/>
                    </w:rPr>
                  </w:pPr>
                  <w:r>
                    <w:rPr>
                      <w:i/>
                      <w:szCs w:val="21"/>
                    </w:rPr>
                    <w:t>I</w:t>
                  </w:r>
                  <w:r>
                    <w:rPr>
                      <w:szCs w:val="21"/>
                      <w:vertAlign w:val="subscript"/>
                    </w:rPr>
                    <w:t>max</w:t>
                  </w:r>
                </w:p>
              </w:tc>
              <w:tc>
                <w:tcPr>
                  <w:tcW w:w="1134" w:type="dxa"/>
                  <w:vMerge w:val="restart"/>
                  <w:vAlign w:val="center"/>
                </w:tcPr>
                <w:p w14:paraId="22BA93A4">
                  <w:pPr>
                    <w:jc w:val="center"/>
                    <w:rPr>
                      <w:color w:val="000000"/>
                      <w:szCs w:val="21"/>
                    </w:rPr>
                  </w:pPr>
                  <w:r>
                    <w:rPr>
                      <w:rFonts w:hint="eastAsia"/>
                      <w:i/>
                      <w:iCs/>
                      <w:color w:val="000000"/>
                      <w:szCs w:val="21"/>
                    </w:rPr>
                    <w:t>U</w:t>
                  </w:r>
                  <w:r>
                    <w:rPr>
                      <w:rFonts w:hint="eastAsia"/>
                      <w:color w:val="000000"/>
                      <w:szCs w:val="21"/>
                      <w:vertAlign w:val="subscript"/>
                    </w:rPr>
                    <w:t>n</w:t>
                  </w:r>
                </w:p>
              </w:tc>
              <w:tc>
                <w:tcPr>
                  <w:tcW w:w="5807" w:type="dxa"/>
                  <w:vAlign w:val="center"/>
                </w:tcPr>
                <w:p w14:paraId="460F8484">
                  <w:pPr>
                    <w:jc w:val="center"/>
                    <w:rPr>
                      <w:color w:val="000000"/>
                      <w:szCs w:val="21"/>
                    </w:rPr>
                  </w:pPr>
                </w:p>
              </w:tc>
            </w:tr>
            <w:tr w14:paraId="337E9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3E1BBA9D">
                  <w:pPr>
                    <w:rPr>
                      <w:szCs w:val="21"/>
                    </w:rPr>
                  </w:pPr>
                  <w:r>
                    <w:rPr>
                      <w:szCs w:val="21"/>
                    </w:rPr>
                    <w:t>0.5</w:t>
                  </w:r>
                  <w:r>
                    <w:rPr>
                      <w:i/>
                      <w:szCs w:val="21"/>
                    </w:rPr>
                    <w:t>I</w:t>
                  </w:r>
                  <w:r>
                    <w:rPr>
                      <w:szCs w:val="21"/>
                      <w:vertAlign w:val="subscript"/>
                    </w:rPr>
                    <w:t>max</w:t>
                  </w:r>
                </w:p>
              </w:tc>
              <w:tc>
                <w:tcPr>
                  <w:tcW w:w="1134" w:type="dxa"/>
                  <w:vMerge w:val="continue"/>
                  <w:vAlign w:val="center"/>
                </w:tcPr>
                <w:p w14:paraId="48D2DC19">
                  <w:pPr>
                    <w:rPr>
                      <w:color w:val="000000"/>
                      <w:szCs w:val="21"/>
                    </w:rPr>
                  </w:pPr>
                </w:p>
              </w:tc>
              <w:tc>
                <w:tcPr>
                  <w:tcW w:w="5807" w:type="dxa"/>
                  <w:vAlign w:val="center"/>
                </w:tcPr>
                <w:p w14:paraId="2DD3DAD3">
                  <w:pPr>
                    <w:jc w:val="center"/>
                    <w:rPr>
                      <w:color w:val="000000"/>
                      <w:szCs w:val="21"/>
                    </w:rPr>
                  </w:pPr>
                </w:p>
              </w:tc>
            </w:tr>
            <w:tr w14:paraId="0DB4E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1993E129">
                  <w:pPr>
                    <w:spacing w:line="300" w:lineRule="auto"/>
                    <w:rPr>
                      <w:color w:val="000000"/>
                      <w:szCs w:val="21"/>
                    </w:rPr>
                  </w:pPr>
                  <w:r>
                    <w:rPr>
                      <w:i/>
                      <w:szCs w:val="24"/>
                    </w:rPr>
                    <w:t>I</w:t>
                  </w:r>
                  <w:r>
                    <w:rPr>
                      <w:rFonts w:hint="eastAsia"/>
                      <w:szCs w:val="21"/>
                      <w:vertAlign w:val="subscript"/>
                    </w:rPr>
                    <w:t>n</w:t>
                  </w:r>
                </w:p>
              </w:tc>
              <w:tc>
                <w:tcPr>
                  <w:tcW w:w="1134" w:type="dxa"/>
                  <w:vMerge w:val="continue"/>
                  <w:vAlign w:val="center"/>
                </w:tcPr>
                <w:p w14:paraId="5931A0C2">
                  <w:pPr>
                    <w:rPr>
                      <w:color w:val="000000"/>
                      <w:szCs w:val="21"/>
                    </w:rPr>
                  </w:pPr>
                </w:p>
              </w:tc>
              <w:tc>
                <w:tcPr>
                  <w:tcW w:w="5807" w:type="dxa"/>
                  <w:vAlign w:val="center"/>
                </w:tcPr>
                <w:p w14:paraId="7C3EBBBB">
                  <w:pPr>
                    <w:jc w:val="center"/>
                    <w:rPr>
                      <w:color w:val="000000"/>
                      <w:szCs w:val="21"/>
                    </w:rPr>
                  </w:pPr>
                </w:p>
              </w:tc>
            </w:tr>
            <w:tr w14:paraId="4A347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6FE86B95">
                  <w:pPr>
                    <w:spacing w:line="300" w:lineRule="auto"/>
                    <w:rPr>
                      <w:color w:val="000000"/>
                      <w:szCs w:val="21"/>
                    </w:rPr>
                  </w:pPr>
                  <w:r>
                    <w:rPr>
                      <w:szCs w:val="24"/>
                    </w:rPr>
                    <w:t>0.</w:t>
                  </w:r>
                  <w:r>
                    <w:rPr>
                      <w:rFonts w:hint="eastAsia"/>
                      <w:szCs w:val="24"/>
                    </w:rPr>
                    <w:t>1</w:t>
                  </w:r>
                  <w:r>
                    <w:rPr>
                      <w:i/>
                      <w:szCs w:val="24"/>
                    </w:rPr>
                    <w:t>I</w:t>
                  </w:r>
                  <w:r>
                    <w:rPr>
                      <w:rFonts w:hint="eastAsia"/>
                      <w:szCs w:val="21"/>
                      <w:vertAlign w:val="subscript"/>
                    </w:rPr>
                    <w:t>n</w:t>
                  </w:r>
                </w:p>
              </w:tc>
              <w:tc>
                <w:tcPr>
                  <w:tcW w:w="1134" w:type="dxa"/>
                  <w:vMerge w:val="continue"/>
                  <w:vAlign w:val="center"/>
                </w:tcPr>
                <w:p w14:paraId="42742E50">
                  <w:pPr>
                    <w:rPr>
                      <w:color w:val="000000"/>
                      <w:szCs w:val="21"/>
                    </w:rPr>
                  </w:pPr>
                </w:p>
              </w:tc>
              <w:tc>
                <w:tcPr>
                  <w:tcW w:w="5807" w:type="dxa"/>
                  <w:vAlign w:val="center"/>
                </w:tcPr>
                <w:p w14:paraId="1B3137C0">
                  <w:pPr>
                    <w:jc w:val="center"/>
                    <w:rPr>
                      <w:color w:val="000000"/>
                      <w:szCs w:val="21"/>
                    </w:rPr>
                  </w:pPr>
                </w:p>
              </w:tc>
            </w:tr>
            <w:tr w14:paraId="105EC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58F9EB23">
                  <w:pPr>
                    <w:spacing w:line="300" w:lineRule="auto"/>
                    <w:rPr>
                      <w:color w:val="000000"/>
                      <w:szCs w:val="21"/>
                    </w:rPr>
                  </w:pPr>
                  <w:r>
                    <w:rPr>
                      <w:i/>
                      <w:szCs w:val="21"/>
                    </w:rPr>
                    <w:t>I</w:t>
                  </w:r>
                  <w:r>
                    <w:rPr>
                      <w:szCs w:val="21"/>
                      <w:vertAlign w:val="subscript"/>
                    </w:rPr>
                    <w:t>min</w:t>
                  </w:r>
                </w:p>
              </w:tc>
              <w:tc>
                <w:tcPr>
                  <w:tcW w:w="1134" w:type="dxa"/>
                  <w:vMerge w:val="continue"/>
                  <w:vAlign w:val="center"/>
                </w:tcPr>
                <w:p w14:paraId="06BE9022">
                  <w:pPr>
                    <w:rPr>
                      <w:color w:val="000000"/>
                      <w:szCs w:val="21"/>
                    </w:rPr>
                  </w:pPr>
                </w:p>
              </w:tc>
              <w:tc>
                <w:tcPr>
                  <w:tcW w:w="5807" w:type="dxa"/>
                  <w:vAlign w:val="center"/>
                </w:tcPr>
                <w:p w14:paraId="0F06BBC9">
                  <w:pPr>
                    <w:jc w:val="center"/>
                    <w:rPr>
                      <w:color w:val="000000"/>
                      <w:szCs w:val="21"/>
                    </w:rPr>
                  </w:pPr>
                </w:p>
              </w:tc>
            </w:tr>
          </w:tbl>
          <w:p w14:paraId="12729B5C">
            <w:pPr>
              <w:adjustRightInd w:val="0"/>
              <w:snapToGrid w:val="0"/>
              <w:spacing w:line="360" w:lineRule="auto"/>
              <w:jc w:val="left"/>
              <w:rPr>
                <w:szCs w:val="21"/>
              </w:rPr>
            </w:pPr>
          </w:p>
          <w:p w14:paraId="6B672627">
            <w:pPr>
              <w:numPr>
                <w:ilvl w:val="0"/>
                <w:numId w:val="13"/>
              </w:numPr>
              <w:adjustRightInd w:val="0"/>
              <w:snapToGrid w:val="0"/>
              <w:spacing w:line="360" w:lineRule="auto"/>
              <w:jc w:val="left"/>
              <w:rPr>
                <w:rFonts w:hint="eastAsia" w:ascii="宋体" w:hAnsi="宋体"/>
                <w:color w:val="000000"/>
                <w:szCs w:val="21"/>
              </w:rPr>
            </w:pPr>
            <w:r>
              <w:rPr>
                <w:rFonts w:hint="eastAsia" w:ascii="宋体" w:hAnsi="宋体"/>
                <w:color w:val="000000"/>
                <w:szCs w:val="21"/>
              </w:rPr>
              <w:t>仪表常数试验:</w:t>
            </w:r>
          </w:p>
          <w:p w14:paraId="6F2F9E20">
            <w:pPr>
              <w:numPr>
                <w:ilvl w:val="0"/>
                <w:numId w:val="13"/>
              </w:numPr>
              <w:adjustRightInd w:val="0"/>
              <w:snapToGrid w:val="0"/>
              <w:jc w:val="left"/>
              <w:rPr>
                <w:rFonts w:hint="eastAsia" w:ascii="宋体" w:hAnsi="宋体"/>
                <w:szCs w:val="21"/>
              </w:rPr>
            </w:pPr>
            <w:r>
              <w:rPr>
                <w:rFonts w:hint="eastAsia" w:ascii="宋体" w:hAnsi="宋体"/>
                <w:szCs w:val="21"/>
              </w:rPr>
              <w:t>时间（时刻）示值误差:</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7"/>
              <w:gridCol w:w="3271"/>
            </w:tblGrid>
            <w:tr w14:paraId="53E1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17" w:type="dxa"/>
                  <w:vAlign w:val="center"/>
                </w:tcPr>
                <w:p w14:paraId="10D22A7D">
                  <w:pPr>
                    <w:rPr>
                      <w:rFonts w:hint="eastAsia" w:ascii="宋体" w:hAnsi="宋体"/>
                      <w:szCs w:val="21"/>
                    </w:rPr>
                  </w:pPr>
                  <w:r>
                    <w:rPr>
                      <w:rFonts w:hint="eastAsia" w:ascii="宋体" w:hAnsi="宋体"/>
                      <w:szCs w:val="21"/>
                    </w:rPr>
                    <w:t>日计时误差</w:t>
                  </w:r>
                </w:p>
              </w:tc>
              <w:tc>
                <w:tcPr>
                  <w:tcW w:w="3271" w:type="dxa"/>
                  <w:vAlign w:val="center"/>
                </w:tcPr>
                <w:p w14:paraId="69B4B06F">
                  <w:pPr>
                    <w:jc w:val="center"/>
                    <w:rPr>
                      <w:rFonts w:hint="eastAsia" w:ascii="宋体" w:hAnsi="宋体"/>
                      <w:szCs w:val="21"/>
                    </w:rPr>
                  </w:pPr>
                  <w:r>
                    <w:rPr>
                      <w:rFonts w:ascii="宋体" w:hAnsi="宋体"/>
                      <w:szCs w:val="21"/>
                    </w:rPr>
                    <w:t>s/d</w:t>
                  </w:r>
                </w:p>
              </w:tc>
            </w:tr>
            <w:tr w14:paraId="4E1F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17" w:type="dxa"/>
                  <w:vAlign w:val="center"/>
                </w:tcPr>
                <w:p w14:paraId="0E018AC4">
                  <w:pPr>
                    <w:rPr>
                      <w:rFonts w:hint="eastAsia" w:ascii="宋体" w:hAnsi="宋体"/>
                      <w:szCs w:val="21"/>
                    </w:rPr>
                  </w:pPr>
                  <w:r>
                    <w:rPr>
                      <w:rFonts w:hint="eastAsia" w:ascii="宋体" w:hAnsi="宋体"/>
                      <w:szCs w:val="21"/>
                    </w:rPr>
                    <w:t>时间（时刻）示值误差</w:t>
                  </w:r>
                </w:p>
              </w:tc>
              <w:tc>
                <w:tcPr>
                  <w:tcW w:w="3271" w:type="dxa"/>
                  <w:vAlign w:val="center"/>
                </w:tcPr>
                <w:p w14:paraId="6C3526D1">
                  <w:pPr>
                    <w:jc w:val="center"/>
                    <w:rPr>
                      <w:rFonts w:hint="eastAsia" w:ascii="宋体" w:hAnsi="宋体"/>
                      <w:szCs w:val="21"/>
                    </w:rPr>
                  </w:pPr>
                  <w:r>
                    <w:rPr>
                      <w:rFonts w:hint="eastAsia" w:ascii="宋体" w:hAnsi="宋体"/>
                      <w:szCs w:val="21"/>
                    </w:rPr>
                    <w:t>s</w:t>
                  </w:r>
                </w:p>
              </w:tc>
            </w:tr>
          </w:tbl>
          <w:p w14:paraId="166ED9CC">
            <w:pPr>
              <w:adjustRightInd w:val="0"/>
              <w:snapToGrid w:val="0"/>
              <w:spacing w:line="360" w:lineRule="auto"/>
              <w:jc w:val="left"/>
              <w:rPr>
                <w:rFonts w:hint="eastAsia" w:ascii="宋体" w:hAnsi="宋体"/>
                <w:color w:val="000000"/>
                <w:szCs w:val="21"/>
              </w:rPr>
            </w:pPr>
          </w:p>
          <w:p w14:paraId="35A61D5C">
            <w:pPr>
              <w:numPr>
                <w:ilvl w:val="0"/>
                <w:numId w:val="13"/>
              </w:numPr>
              <w:adjustRightInd w:val="0"/>
              <w:snapToGrid w:val="0"/>
              <w:spacing w:line="360" w:lineRule="auto"/>
              <w:jc w:val="left"/>
              <w:rPr>
                <w:rFonts w:hint="eastAsia" w:ascii="宋体" w:hAnsi="宋体"/>
                <w:color w:val="000000"/>
                <w:szCs w:val="21"/>
              </w:rPr>
            </w:pPr>
            <w:r>
              <w:rPr>
                <w:rFonts w:hint="eastAsia" w:ascii="宋体" w:hAnsi="宋体"/>
                <w:color w:val="000000"/>
                <w:szCs w:val="21"/>
              </w:rPr>
              <w:t>电能示值组合误差:</w:t>
            </w:r>
          </w:p>
          <w:p w14:paraId="51BECAA0">
            <w:pPr>
              <w:adjustRightInd w:val="0"/>
              <w:snapToGrid w:val="0"/>
              <w:spacing w:line="360" w:lineRule="auto"/>
              <w:jc w:val="left"/>
              <w:rPr>
                <w:szCs w:val="21"/>
              </w:rPr>
            </w:pPr>
          </w:p>
        </w:tc>
      </w:tr>
    </w:tbl>
    <w:p w14:paraId="05FC2383">
      <w:pPr>
        <w:spacing w:line="360" w:lineRule="auto"/>
        <w:jc w:val="center"/>
        <w:rPr>
          <w:szCs w:val="21"/>
        </w:rPr>
      </w:pPr>
      <w:r>
        <w:rPr>
          <w:rFonts w:hint="eastAsia"/>
          <w:szCs w:val="21"/>
        </w:rPr>
        <w:t>第X页 共X页</w:t>
      </w:r>
    </w:p>
    <w:p w14:paraId="34EB03E6">
      <w:pPr>
        <w:jc w:val="center"/>
        <w:rPr>
          <w:rFonts w:ascii="宋体"/>
          <w:szCs w:val="48"/>
        </w:rPr>
      </w:pPr>
      <w:r>
        <w:rPr>
          <w:rFonts w:hint="eastAsia" w:ascii="宋体"/>
          <w:szCs w:val="48"/>
        </w:rPr>
        <w:t>证书编号 XXXXXX-XXXX</w:t>
      </w:r>
    </w:p>
    <w:p w14:paraId="370167F2">
      <w:pPr>
        <w:spacing w:before="499" w:beforeLines="160" w:line="270" w:lineRule="exact"/>
        <w:jc w:val="center"/>
        <w:rPr>
          <w:rFonts w:ascii="黑体" w:eastAsia="黑体"/>
          <w:sz w:val="48"/>
          <w:szCs w:val="48"/>
        </w:rPr>
      </w:pPr>
      <w:r>
        <w:rPr>
          <w:rFonts w:hint="eastAsia" w:ascii="黑体" w:eastAsia="黑体"/>
          <w:sz w:val="48"/>
          <w:szCs w:val="48"/>
        </w:rPr>
        <w:t>检 定 结 果</w:t>
      </w:r>
    </w:p>
    <w:tbl>
      <w:tblPr>
        <w:tblStyle w:val="33"/>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8460"/>
      </w:tblGrid>
      <w:tr w14:paraId="3BFB212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11217" w:hRule="exact"/>
          <w:jc w:val="center"/>
        </w:trPr>
        <w:tc>
          <w:tcPr>
            <w:tcW w:w="8460" w:type="dxa"/>
          </w:tcPr>
          <w:p w14:paraId="4BFD7D24">
            <w:pPr>
              <w:spacing w:line="360" w:lineRule="auto"/>
              <w:jc w:val="left"/>
              <w:rPr>
                <w:szCs w:val="21"/>
              </w:rPr>
            </w:pPr>
          </w:p>
          <w:p w14:paraId="35C4DE12">
            <w:pPr>
              <w:numPr>
                <w:ilvl w:val="0"/>
                <w:numId w:val="13"/>
              </w:numPr>
              <w:adjustRightInd w:val="0"/>
              <w:snapToGrid w:val="0"/>
              <w:spacing w:line="360" w:lineRule="auto"/>
              <w:jc w:val="left"/>
              <w:rPr>
                <w:rFonts w:hint="eastAsia" w:ascii="宋体" w:hAnsi="宋体"/>
                <w:color w:val="000000"/>
                <w:szCs w:val="21"/>
              </w:rPr>
            </w:pPr>
            <w:r>
              <w:rPr>
                <w:rFonts w:hint="eastAsia" w:ascii="宋体" w:hAnsi="宋体"/>
                <w:color w:val="000000"/>
                <w:szCs w:val="21"/>
              </w:rPr>
              <w:t>负载电流升降变差试验:</w:t>
            </w:r>
          </w:p>
          <w:tbl>
            <w:tblPr>
              <w:tblStyle w:val="143"/>
              <w:tblW w:w="8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34"/>
              <w:gridCol w:w="5807"/>
            </w:tblGrid>
            <w:tr w14:paraId="20E7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5E1F8E76">
                  <w:pPr>
                    <w:spacing w:line="300" w:lineRule="auto"/>
                    <w:rPr>
                      <w:color w:val="000000"/>
                      <w:szCs w:val="21"/>
                    </w:rPr>
                  </w:pPr>
                  <w:r>
                    <w:rPr>
                      <w:color w:val="000000"/>
                      <w:szCs w:val="21"/>
                    </w:rPr>
                    <w:t>电流</w:t>
                  </w:r>
                  <w:r>
                    <w:rPr>
                      <w:i/>
                      <w:iCs/>
                      <w:color w:val="000000"/>
                      <w:szCs w:val="21"/>
                    </w:rPr>
                    <w:t>I</w:t>
                  </w:r>
                </w:p>
              </w:tc>
              <w:tc>
                <w:tcPr>
                  <w:tcW w:w="1134" w:type="dxa"/>
                  <w:vAlign w:val="center"/>
                </w:tcPr>
                <w:p w14:paraId="7BA93FD2">
                  <w:pPr>
                    <w:ind w:left="-105" w:leftChars="-50"/>
                    <w:jc w:val="center"/>
                    <w:rPr>
                      <w:color w:val="000000"/>
                      <w:szCs w:val="21"/>
                    </w:rPr>
                  </w:pPr>
                  <w:r>
                    <w:rPr>
                      <w:rFonts w:hint="eastAsia"/>
                      <w:color w:val="000000"/>
                      <w:szCs w:val="21"/>
                    </w:rPr>
                    <w:t>电压</w:t>
                  </w:r>
                  <w:r>
                    <w:rPr>
                      <w:rFonts w:hint="eastAsia"/>
                      <w:i/>
                      <w:iCs/>
                      <w:color w:val="000000"/>
                      <w:szCs w:val="21"/>
                    </w:rPr>
                    <w:t>U</w:t>
                  </w:r>
                </w:p>
              </w:tc>
              <w:tc>
                <w:tcPr>
                  <w:tcW w:w="5807" w:type="dxa"/>
                  <w:vAlign w:val="center"/>
                </w:tcPr>
                <w:p w14:paraId="27025E44">
                  <w:pPr>
                    <w:ind w:left="-105" w:leftChars="-50"/>
                    <w:jc w:val="center"/>
                    <w:rPr>
                      <w:color w:val="000000"/>
                      <w:szCs w:val="21"/>
                    </w:rPr>
                  </w:pPr>
                  <w:r>
                    <w:rPr>
                      <w:rFonts w:hint="eastAsia"/>
                      <w:color w:val="000000"/>
                      <w:szCs w:val="21"/>
                    </w:rPr>
                    <w:t>升降变差值</w:t>
                  </w:r>
                </w:p>
              </w:tc>
            </w:tr>
            <w:tr w14:paraId="5A26D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5D69B6C2">
                  <w:pPr>
                    <w:rPr>
                      <w:szCs w:val="21"/>
                    </w:rPr>
                  </w:pPr>
                  <w:r>
                    <w:rPr>
                      <w:i/>
                      <w:szCs w:val="21"/>
                    </w:rPr>
                    <w:t>I</w:t>
                  </w:r>
                  <w:r>
                    <w:rPr>
                      <w:szCs w:val="21"/>
                      <w:vertAlign w:val="subscript"/>
                    </w:rPr>
                    <w:t>max</w:t>
                  </w:r>
                </w:p>
              </w:tc>
              <w:tc>
                <w:tcPr>
                  <w:tcW w:w="1134" w:type="dxa"/>
                  <w:vMerge w:val="restart"/>
                  <w:vAlign w:val="center"/>
                </w:tcPr>
                <w:p w14:paraId="3B950C90">
                  <w:pPr>
                    <w:jc w:val="center"/>
                    <w:rPr>
                      <w:color w:val="000000"/>
                      <w:szCs w:val="21"/>
                    </w:rPr>
                  </w:pPr>
                  <w:r>
                    <w:rPr>
                      <w:rFonts w:hint="eastAsia"/>
                      <w:i/>
                      <w:iCs/>
                      <w:color w:val="000000"/>
                      <w:szCs w:val="21"/>
                    </w:rPr>
                    <w:t>U</w:t>
                  </w:r>
                  <w:r>
                    <w:rPr>
                      <w:rFonts w:hint="eastAsia"/>
                      <w:color w:val="000000"/>
                      <w:szCs w:val="21"/>
                      <w:vertAlign w:val="subscript"/>
                    </w:rPr>
                    <w:t>n</w:t>
                  </w:r>
                </w:p>
              </w:tc>
              <w:tc>
                <w:tcPr>
                  <w:tcW w:w="5807" w:type="dxa"/>
                  <w:vAlign w:val="center"/>
                </w:tcPr>
                <w:p w14:paraId="600FD337">
                  <w:pPr>
                    <w:jc w:val="center"/>
                    <w:rPr>
                      <w:color w:val="000000"/>
                      <w:szCs w:val="21"/>
                    </w:rPr>
                  </w:pPr>
                </w:p>
              </w:tc>
            </w:tr>
            <w:tr w14:paraId="6A46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1FDA1D44">
                  <w:pPr>
                    <w:rPr>
                      <w:szCs w:val="21"/>
                    </w:rPr>
                  </w:pPr>
                  <w:r>
                    <w:rPr>
                      <w:szCs w:val="21"/>
                    </w:rPr>
                    <w:t>0.5</w:t>
                  </w:r>
                  <w:r>
                    <w:rPr>
                      <w:i/>
                      <w:szCs w:val="21"/>
                    </w:rPr>
                    <w:t>I</w:t>
                  </w:r>
                  <w:r>
                    <w:rPr>
                      <w:szCs w:val="21"/>
                      <w:vertAlign w:val="subscript"/>
                    </w:rPr>
                    <w:t>max</w:t>
                  </w:r>
                </w:p>
              </w:tc>
              <w:tc>
                <w:tcPr>
                  <w:tcW w:w="1134" w:type="dxa"/>
                  <w:vMerge w:val="continue"/>
                  <w:vAlign w:val="center"/>
                </w:tcPr>
                <w:p w14:paraId="0DA18EE6">
                  <w:pPr>
                    <w:rPr>
                      <w:color w:val="000000"/>
                      <w:szCs w:val="21"/>
                    </w:rPr>
                  </w:pPr>
                </w:p>
              </w:tc>
              <w:tc>
                <w:tcPr>
                  <w:tcW w:w="5807" w:type="dxa"/>
                  <w:vAlign w:val="center"/>
                </w:tcPr>
                <w:p w14:paraId="09F3D531">
                  <w:pPr>
                    <w:jc w:val="center"/>
                    <w:rPr>
                      <w:color w:val="000000"/>
                      <w:szCs w:val="21"/>
                    </w:rPr>
                  </w:pPr>
                </w:p>
              </w:tc>
            </w:tr>
            <w:tr w14:paraId="64AB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28AF48BF">
                  <w:pPr>
                    <w:spacing w:line="300" w:lineRule="auto"/>
                    <w:rPr>
                      <w:color w:val="000000"/>
                      <w:szCs w:val="21"/>
                    </w:rPr>
                  </w:pPr>
                  <w:r>
                    <w:rPr>
                      <w:i/>
                      <w:szCs w:val="24"/>
                    </w:rPr>
                    <w:t>I</w:t>
                  </w:r>
                  <w:r>
                    <w:rPr>
                      <w:rFonts w:hint="eastAsia"/>
                      <w:szCs w:val="21"/>
                      <w:vertAlign w:val="subscript"/>
                    </w:rPr>
                    <w:t>n</w:t>
                  </w:r>
                </w:p>
              </w:tc>
              <w:tc>
                <w:tcPr>
                  <w:tcW w:w="1134" w:type="dxa"/>
                  <w:vMerge w:val="continue"/>
                  <w:vAlign w:val="center"/>
                </w:tcPr>
                <w:p w14:paraId="6786874C">
                  <w:pPr>
                    <w:rPr>
                      <w:color w:val="000000"/>
                      <w:szCs w:val="21"/>
                    </w:rPr>
                  </w:pPr>
                </w:p>
              </w:tc>
              <w:tc>
                <w:tcPr>
                  <w:tcW w:w="5807" w:type="dxa"/>
                  <w:vAlign w:val="center"/>
                </w:tcPr>
                <w:p w14:paraId="2F016C7E">
                  <w:pPr>
                    <w:jc w:val="center"/>
                    <w:rPr>
                      <w:color w:val="000000"/>
                      <w:szCs w:val="21"/>
                    </w:rPr>
                  </w:pPr>
                </w:p>
              </w:tc>
            </w:tr>
            <w:tr w14:paraId="4C0E3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2F6D4B94">
                  <w:pPr>
                    <w:spacing w:line="300" w:lineRule="auto"/>
                    <w:rPr>
                      <w:color w:val="000000"/>
                      <w:szCs w:val="21"/>
                    </w:rPr>
                  </w:pPr>
                  <w:r>
                    <w:rPr>
                      <w:szCs w:val="24"/>
                    </w:rPr>
                    <w:t>0.</w:t>
                  </w:r>
                  <w:r>
                    <w:rPr>
                      <w:rFonts w:hint="eastAsia"/>
                      <w:szCs w:val="24"/>
                    </w:rPr>
                    <w:t>1</w:t>
                  </w:r>
                  <w:r>
                    <w:rPr>
                      <w:i/>
                      <w:szCs w:val="24"/>
                    </w:rPr>
                    <w:t>I</w:t>
                  </w:r>
                  <w:r>
                    <w:rPr>
                      <w:rFonts w:hint="eastAsia"/>
                      <w:szCs w:val="21"/>
                      <w:vertAlign w:val="subscript"/>
                    </w:rPr>
                    <w:t>n</w:t>
                  </w:r>
                </w:p>
              </w:tc>
              <w:tc>
                <w:tcPr>
                  <w:tcW w:w="1134" w:type="dxa"/>
                  <w:vMerge w:val="continue"/>
                  <w:vAlign w:val="center"/>
                </w:tcPr>
                <w:p w14:paraId="0EF92F61">
                  <w:pPr>
                    <w:rPr>
                      <w:color w:val="000000"/>
                      <w:szCs w:val="21"/>
                    </w:rPr>
                  </w:pPr>
                </w:p>
              </w:tc>
              <w:tc>
                <w:tcPr>
                  <w:tcW w:w="5807" w:type="dxa"/>
                  <w:vAlign w:val="center"/>
                </w:tcPr>
                <w:p w14:paraId="089B6213">
                  <w:pPr>
                    <w:jc w:val="center"/>
                    <w:rPr>
                      <w:color w:val="000000"/>
                      <w:szCs w:val="21"/>
                    </w:rPr>
                  </w:pPr>
                </w:p>
              </w:tc>
            </w:tr>
            <w:tr w14:paraId="52EF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578C95C5">
                  <w:pPr>
                    <w:spacing w:line="300" w:lineRule="auto"/>
                    <w:rPr>
                      <w:color w:val="000000"/>
                      <w:szCs w:val="21"/>
                    </w:rPr>
                  </w:pPr>
                  <w:r>
                    <w:rPr>
                      <w:i/>
                      <w:szCs w:val="21"/>
                    </w:rPr>
                    <w:t>I</w:t>
                  </w:r>
                  <w:r>
                    <w:rPr>
                      <w:szCs w:val="21"/>
                      <w:vertAlign w:val="subscript"/>
                    </w:rPr>
                    <w:t>min</w:t>
                  </w:r>
                </w:p>
              </w:tc>
              <w:tc>
                <w:tcPr>
                  <w:tcW w:w="1134" w:type="dxa"/>
                  <w:vMerge w:val="continue"/>
                  <w:vAlign w:val="center"/>
                </w:tcPr>
                <w:p w14:paraId="475A83DA">
                  <w:pPr>
                    <w:rPr>
                      <w:color w:val="000000"/>
                      <w:szCs w:val="21"/>
                    </w:rPr>
                  </w:pPr>
                </w:p>
              </w:tc>
              <w:tc>
                <w:tcPr>
                  <w:tcW w:w="5807" w:type="dxa"/>
                  <w:vAlign w:val="center"/>
                </w:tcPr>
                <w:p w14:paraId="76812180">
                  <w:pPr>
                    <w:jc w:val="center"/>
                    <w:rPr>
                      <w:color w:val="000000"/>
                      <w:szCs w:val="21"/>
                    </w:rPr>
                  </w:pPr>
                </w:p>
              </w:tc>
            </w:tr>
          </w:tbl>
          <w:p w14:paraId="462376E0">
            <w:pPr>
              <w:adjustRightInd w:val="0"/>
              <w:snapToGrid w:val="0"/>
              <w:spacing w:line="360" w:lineRule="auto"/>
              <w:jc w:val="left"/>
              <w:rPr>
                <w:rFonts w:hint="eastAsia" w:ascii="宋体" w:hAnsi="宋体"/>
                <w:color w:val="000000"/>
                <w:szCs w:val="21"/>
              </w:rPr>
            </w:pPr>
          </w:p>
          <w:p w14:paraId="6D8081BF">
            <w:pPr>
              <w:spacing w:line="360" w:lineRule="auto"/>
              <w:jc w:val="left"/>
              <w:rPr>
                <w:rFonts w:hint="eastAsia" w:ascii="宋体" w:hAnsi="宋体"/>
                <w:szCs w:val="21"/>
              </w:rPr>
            </w:pPr>
            <w:r>
              <w:rPr>
                <w:rFonts w:hint="eastAsia" w:ascii="宋体" w:hAnsi="宋体"/>
                <w:color w:val="000000"/>
                <w:szCs w:val="21"/>
              </w:rPr>
              <w:t>检定结论及说明:</w:t>
            </w:r>
          </w:p>
          <w:p w14:paraId="75FE7A6A">
            <w:pPr>
              <w:spacing w:line="360" w:lineRule="auto"/>
              <w:jc w:val="center"/>
              <w:rPr>
                <w:szCs w:val="21"/>
              </w:rPr>
            </w:pPr>
          </w:p>
          <w:p w14:paraId="3EAB226E">
            <w:pPr>
              <w:spacing w:line="360" w:lineRule="auto"/>
              <w:jc w:val="center"/>
              <w:rPr>
                <w:szCs w:val="21"/>
              </w:rPr>
            </w:pPr>
          </w:p>
          <w:p w14:paraId="46549B6B">
            <w:pPr>
              <w:spacing w:line="360" w:lineRule="auto"/>
              <w:jc w:val="center"/>
              <w:rPr>
                <w:szCs w:val="21"/>
              </w:rPr>
            </w:pPr>
            <w:r>
              <w:rPr>
                <w:rFonts w:hint="eastAsia"/>
                <w:szCs w:val="21"/>
              </w:rPr>
              <w:t>以下空白</w:t>
            </w:r>
          </w:p>
          <w:p w14:paraId="36DB4052">
            <w:pPr>
              <w:spacing w:line="360" w:lineRule="auto"/>
              <w:jc w:val="left"/>
              <w:rPr>
                <w:sz w:val="24"/>
                <w:szCs w:val="24"/>
              </w:rPr>
            </w:pPr>
          </w:p>
          <w:p w14:paraId="143F6B93">
            <w:pPr>
              <w:spacing w:line="360" w:lineRule="auto"/>
              <w:jc w:val="left"/>
              <w:rPr>
                <w:sz w:val="24"/>
                <w:szCs w:val="24"/>
              </w:rPr>
            </w:pPr>
          </w:p>
          <w:p w14:paraId="600E9B73">
            <w:pPr>
              <w:spacing w:line="360" w:lineRule="auto"/>
              <w:jc w:val="left"/>
              <w:rPr>
                <w:sz w:val="24"/>
                <w:szCs w:val="24"/>
              </w:rPr>
            </w:pPr>
          </w:p>
          <w:p w14:paraId="2B6E7BB2">
            <w:pPr>
              <w:spacing w:line="360" w:lineRule="auto"/>
              <w:jc w:val="left"/>
              <w:rPr>
                <w:sz w:val="24"/>
                <w:szCs w:val="24"/>
              </w:rPr>
            </w:pPr>
          </w:p>
          <w:p w14:paraId="488C2B3D">
            <w:pPr>
              <w:spacing w:line="360" w:lineRule="auto"/>
              <w:jc w:val="left"/>
              <w:rPr>
                <w:sz w:val="24"/>
                <w:szCs w:val="24"/>
              </w:rPr>
            </w:pPr>
          </w:p>
          <w:p w14:paraId="44639941">
            <w:pPr>
              <w:adjustRightInd w:val="0"/>
              <w:snapToGrid w:val="0"/>
              <w:spacing w:line="360" w:lineRule="auto"/>
              <w:ind w:firstLine="945" w:firstLineChars="450"/>
              <w:jc w:val="left"/>
              <w:rPr>
                <w:szCs w:val="21"/>
              </w:rPr>
            </w:pPr>
          </w:p>
        </w:tc>
      </w:tr>
    </w:tbl>
    <w:p w14:paraId="2C332358">
      <w:pPr>
        <w:spacing w:line="360" w:lineRule="auto"/>
        <w:jc w:val="center"/>
        <w:rPr>
          <w:rFonts w:ascii="黑体" w:eastAsia="黑体"/>
          <w:sz w:val="28"/>
          <w:szCs w:val="28"/>
        </w:rPr>
      </w:pPr>
      <w:r>
        <w:rPr>
          <w:rFonts w:hint="eastAsia"/>
          <w:szCs w:val="21"/>
        </w:rPr>
        <w:t>第X页 共X页</w:t>
      </w:r>
    </w:p>
    <w:p w14:paraId="40DFA276">
      <w:pPr>
        <w:rPr>
          <w:rFonts w:hint="eastAsia" w:ascii="宋体" w:hAnsi="宋体"/>
          <w:sz w:val="24"/>
          <w:szCs w:val="24"/>
        </w:rPr>
      </w:pPr>
      <w:r>
        <w:rPr>
          <w:rFonts w:ascii="黑体" w:eastAsia="黑体"/>
          <w:sz w:val="28"/>
          <w:szCs w:val="28"/>
        </w:rPr>
        <w:br w:type="page"/>
      </w:r>
      <w:r>
        <w:rPr>
          <w:rFonts w:ascii="宋体" w:hAnsi="宋体"/>
          <w:sz w:val="24"/>
          <w:szCs w:val="24"/>
        </w:rPr>
        <w:t>D</w:t>
      </w:r>
      <w:r>
        <w:rPr>
          <w:rFonts w:hint="eastAsia" w:ascii="宋体" w:hAnsi="宋体"/>
          <w:sz w:val="24"/>
          <w:szCs w:val="24"/>
        </w:rPr>
        <w:t>.2检定结果通知书第3页</w:t>
      </w:r>
    </w:p>
    <w:p w14:paraId="5E686B3F">
      <w:pPr>
        <w:jc w:val="center"/>
        <w:rPr>
          <w:rFonts w:ascii="宋体"/>
          <w:szCs w:val="48"/>
        </w:rPr>
      </w:pPr>
      <w:r>
        <w:rPr>
          <w:rFonts w:hint="eastAsia" w:ascii="宋体"/>
          <w:szCs w:val="48"/>
        </w:rPr>
        <w:t>证书编号 XXXXXX-XXXX</w:t>
      </w:r>
    </w:p>
    <w:p w14:paraId="66E73CAE">
      <w:pPr>
        <w:spacing w:before="499" w:beforeLines="160" w:line="270" w:lineRule="exact"/>
        <w:jc w:val="center"/>
        <w:rPr>
          <w:rFonts w:ascii="黑体" w:eastAsia="黑体"/>
          <w:sz w:val="48"/>
          <w:szCs w:val="48"/>
        </w:rPr>
      </w:pPr>
      <w:r>
        <w:rPr>
          <w:rFonts w:hint="eastAsia" w:ascii="黑体" w:eastAsia="黑体"/>
          <w:sz w:val="48"/>
          <w:szCs w:val="48"/>
        </w:rPr>
        <w:t>检 定 结 果</w:t>
      </w:r>
    </w:p>
    <w:tbl>
      <w:tblPr>
        <w:tblStyle w:val="33"/>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8460"/>
      </w:tblGrid>
      <w:tr w14:paraId="216ED7E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10433" w:hRule="exact"/>
          <w:jc w:val="center"/>
        </w:trPr>
        <w:tc>
          <w:tcPr>
            <w:tcW w:w="8460" w:type="dxa"/>
          </w:tcPr>
          <w:p w14:paraId="500FD586">
            <w:pPr>
              <w:adjustRightInd w:val="0"/>
              <w:snapToGrid w:val="0"/>
              <w:spacing w:line="360" w:lineRule="auto"/>
              <w:jc w:val="left"/>
              <w:rPr>
                <w:szCs w:val="21"/>
              </w:rPr>
            </w:pPr>
          </w:p>
          <w:p w14:paraId="0A7F4841">
            <w:pPr>
              <w:numPr>
                <w:ilvl w:val="0"/>
                <w:numId w:val="14"/>
              </w:numPr>
              <w:adjustRightInd w:val="0"/>
              <w:snapToGrid w:val="0"/>
              <w:spacing w:line="360" w:lineRule="auto"/>
              <w:jc w:val="left"/>
              <w:rPr>
                <w:szCs w:val="21"/>
              </w:rPr>
            </w:pPr>
            <w:r>
              <w:rPr>
                <w:rFonts w:hint="eastAsia"/>
                <w:color w:val="000000"/>
                <w:szCs w:val="21"/>
              </w:rPr>
              <w:t>外观功能检查:</w:t>
            </w:r>
          </w:p>
          <w:p w14:paraId="50039F88">
            <w:pPr>
              <w:numPr>
                <w:ilvl w:val="0"/>
                <w:numId w:val="14"/>
              </w:numPr>
              <w:adjustRightInd w:val="0"/>
              <w:snapToGrid w:val="0"/>
              <w:spacing w:line="360" w:lineRule="auto"/>
              <w:jc w:val="left"/>
              <w:rPr>
                <w:szCs w:val="21"/>
              </w:rPr>
            </w:pPr>
            <w:r>
              <w:rPr>
                <w:rFonts w:hint="eastAsia" w:ascii="宋体" w:hAnsi="宋体"/>
                <w:color w:val="000000"/>
                <w:szCs w:val="21"/>
              </w:rPr>
              <w:t>直流电压试验:</w:t>
            </w:r>
          </w:p>
          <w:p w14:paraId="2B3EF0CB">
            <w:pPr>
              <w:numPr>
                <w:ilvl w:val="0"/>
                <w:numId w:val="14"/>
              </w:numPr>
              <w:adjustRightInd w:val="0"/>
              <w:snapToGrid w:val="0"/>
              <w:spacing w:line="360" w:lineRule="auto"/>
              <w:jc w:val="left"/>
              <w:rPr>
                <w:szCs w:val="21"/>
              </w:rPr>
            </w:pPr>
            <w:r>
              <w:rPr>
                <w:rFonts w:hint="eastAsia" w:ascii="宋体" w:hAnsi="宋体"/>
                <w:color w:val="000000"/>
                <w:szCs w:val="21"/>
              </w:rPr>
              <w:t>绝缘电阻试验：</w:t>
            </w:r>
          </w:p>
          <w:p w14:paraId="360C0DE8">
            <w:pPr>
              <w:numPr>
                <w:ilvl w:val="0"/>
                <w:numId w:val="14"/>
              </w:numPr>
              <w:adjustRightInd w:val="0"/>
              <w:snapToGrid w:val="0"/>
              <w:spacing w:line="360" w:lineRule="auto"/>
              <w:jc w:val="left"/>
              <w:rPr>
                <w:szCs w:val="21"/>
              </w:rPr>
            </w:pPr>
            <w:r>
              <w:rPr>
                <w:rFonts w:hint="eastAsia" w:ascii="宋体" w:hAnsi="宋体"/>
                <w:color w:val="000000"/>
                <w:szCs w:val="21"/>
              </w:rPr>
              <w:t>无负载状态试验:</w:t>
            </w:r>
          </w:p>
          <w:p w14:paraId="077E4D89">
            <w:pPr>
              <w:numPr>
                <w:ilvl w:val="0"/>
                <w:numId w:val="14"/>
              </w:numPr>
              <w:adjustRightInd w:val="0"/>
              <w:snapToGrid w:val="0"/>
              <w:spacing w:line="360" w:lineRule="auto"/>
              <w:jc w:val="left"/>
              <w:rPr>
                <w:szCs w:val="21"/>
              </w:rPr>
            </w:pPr>
            <w:r>
              <w:rPr>
                <w:rFonts w:hint="eastAsia" w:ascii="宋体" w:hAnsi="宋体"/>
                <w:color w:val="000000"/>
                <w:szCs w:val="21"/>
              </w:rPr>
              <w:t>起动试验:</w:t>
            </w:r>
          </w:p>
          <w:p w14:paraId="1371227E">
            <w:pPr>
              <w:numPr>
                <w:ilvl w:val="0"/>
                <w:numId w:val="14"/>
              </w:numPr>
              <w:adjustRightInd w:val="0"/>
              <w:snapToGrid w:val="0"/>
              <w:jc w:val="left"/>
              <w:rPr>
                <w:szCs w:val="21"/>
              </w:rPr>
            </w:pPr>
            <w:r>
              <w:rPr>
                <w:rFonts w:hint="eastAsia" w:ascii="宋体" w:hAnsi="宋体"/>
                <w:color w:val="000000"/>
                <w:szCs w:val="21"/>
              </w:rPr>
              <w:t>基本误差</w:t>
            </w:r>
          </w:p>
          <w:tbl>
            <w:tblPr>
              <w:tblStyle w:val="143"/>
              <w:tblW w:w="8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34"/>
              <w:gridCol w:w="5807"/>
            </w:tblGrid>
            <w:tr w14:paraId="5A12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2" w:type="dxa"/>
                  <w:gridSpan w:val="3"/>
                  <w:vAlign w:val="center"/>
                </w:tcPr>
                <w:p w14:paraId="5C9BA4E8">
                  <w:pPr>
                    <w:spacing w:line="300" w:lineRule="auto"/>
                    <w:jc w:val="center"/>
                    <w:rPr>
                      <w:rFonts w:hint="eastAsia" w:ascii="宋体" w:hAnsi="宋体"/>
                      <w:color w:val="000000"/>
                      <w:szCs w:val="21"/>
                    </w:rPr>
                  </w:pPr>
                  <w:r>
                    <w:rPr>
                      <w:rFonts w:hint="eastAsia" w:ascii="宋体" w:hAnsi="宋体"/>
                      <w:color w:val="000000"/>
                      <w:szCs w:val="21"/>
                    </w:rPr>
                    <w:t>标称电压：</w:t>
                  </w:r>
                  <w:r>
                    <w:rPr>
                      <w:rFonts w:ascii="宋体" w:hAnsi="宋体"/>
                      <w:color w:val="000000"/>
                      <w:szCs w:val="21"/>
                      <w:u w:val="single"/>
                    </w:rPr>
                    <w:tab/>
                  </w:r>
                  <w:r>
                    <w:rPr>
                      <w:rFonts w:ascii="宋体" w:hAnsi="宋体"/>
                      <w:color w:val="000000"/>
                      <w:szCs w:val="21"/>
                      <w:u w:val="single"/>
                    </w:rPr>
                    <w:t xml:space="preserve">  </w:t>
                  </w:r>
                  <w:r>
                    <w:rPr>
                      <w:rFonts w:ascii="宋体" w:hAnsi="宋体"/>
                      <w:color w:val="000000"/>
                      <w:szCs w:val="21"/>
                    </w:rPr>
                    <w:t xml:space="preserve">V </w:t>
                  </w:r>
                  <w:r>
                    <w:rPr>
                      <w:rFonts w:hint="eastAsia" w:ascii="宋体" w:hAnsi="宋体"/>
                      <w:color w:val="000000"/>
                      <w:szCs w:val="21"/>
                    </w:rPr>
                    <w:t>电流：</w:t>
                  </w:r>
                  <w:r>
                    <w:rPr>
                      <w:rFonts w:ascii="宋体" w:hAnsi="宋体"/>
                      <w:color w:val="000000"/>
                      <w:szCs w:val="21"/>
                      <w:u w:val="single"/>
                    </w:rPr>
                    <w:tab/>
                  </w:r>
                  <w:r>
                    <w:rPr>
                      <w:rFonts w:ascii="宋体" w:hAnsi="宋体"/>
                      <w:color w:val="000000"/>
                      <w:szCs w:val="21"/>
                      <w:u w:val="single"/>
                    </w:rPr>
                    <w:t xml:space="preserve">   </w:t>
                  </w:r>
                  <w:r>
                    <w:rPr>
                      <w:rFonts w:ascii="宋体" w:hAnsi="宋体"/>
                      <w:color w:val="000000"/>
                      <w:szCs w:val="21"/>
                    </w:rPr>
                    <w:t xml:space="preserve">A </w:t>
                  </w:r>
                  <w:r>
                    <w:rPr>
                      <w:rFonts w:hint="eastAsia" w:ascii="宋体" w:hAnsi="宋体"/>
                      <w:color w:val="000000"/>
                      <w:szCs w:val="21"/>
                    </w:rPr>
                    <w:t>常数</w:t>
                  </w:r>
                  <w:r>
                    <w:rPr>
                      <w:rFonts w:hint="eastAsia" w:ascii="宋体" w:hAnsi="宋体"/>
                      <w:color w:val="000000"/>
                      <w:szCs w:val="21"/>
                      <w:u w:val="single"/>
                    </w:rPr>
                    <w:t>：</w:t>
                  </w:r>
                  <w:r>
                    <w:rPr>
                      <w:rFonts w:ascii="宋体" w:hAnsi="宋体"/>
                      <w:color w:val="000000"/>
                      <w:szCs w:val="21"/>
                      <w:u w:val="single"/>
                    </w:rPr>
                    <w:tab/>
                  </w:r>
                  <w:r>
                    <w:rPr>
                      <w:rFonts w:ascii="宋体" w:hAnsi="宋体"/>
                      <w:color w:val="000000"/>
                      <w:szCs w:val="21"/>
                    </w:rPr>
                    <w:t xml:space="preserve"> </w:t>
                  </w:r>
                  <w:r>
                    <w:rPr>
                      <w:rFonts w:hint="eastAsia" w:ascii="宋体" w:hAnsi="宋体"/>
                      <w:color w:val="000000"/>
                      <w:szCs w:val="21"/>
                    </w:rPr>
                    <w:t>辅助电源</w:t>
                  </w:r>
                  <w:r>
                    <w:rPr>
                      <w:rFonts w:ascii="宋体" w:hAnsi="宋体"/>
                      <w:color w:val="000000"/>
                      <w:szCs w:val="21"/>
                    </w:rPr>
                    <w:t>:</w:t>
                  </w:r>
                  <w:r>
                    <w:rPr>
                      <w:rFonts w:ascii="宋体" w:hAnsi="宋体"/>
                      <w:color w:val="000000"/>
                      <w:szCs w:val="21"/>
                      <w:u w:val="single"/>
                    </w:rPr>
                    <w:tab/>
                  </w:r>
                  <w:r>
                    <w:rPr>
                      <w:rFonts w:ascii="宋体" w:hAnsi="宋体"/>
                      <w:color w:val="000000"/>
                      <w:szCs w:val="21"/>
                      <w:u w:val="single"/>
                    </w:rPr>
                    <w:t xml:space="preserve">  </w:t>
                  </w:r>
                  <w:r>
                    <w:rPr>
                      <w:rFonts w:hint="eastAsia" w:ascii="宋体" w:hAnsi="宋体"/>
                      <w:color w:val="000000"/>
                      <w:szCs w:val="21"/>
                    </w:rPr>
                    <w:t>V</w:t>
                  </w:r>
                </w:p>
              </w:tc>
            </w:tr>
            <w:tr w14:paraId="51F2D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2" w:type="dxa"/>
                  <w:gridSpan w:val="3"/>
                  <w:vAlign w:val="center"/>
                </w:tcPr>
                <w:p w14:paraId="06F7227D">
                  <w:pPr>
                    <w:spacing w:line="300" w:lineRule="auto"/>
                    <w:jc w:val="left"/>
                    <w:rPr>
                      <w:rFonts w:hint="eastAsia" w:ascii="宋体" w:hAnsi="宋体"/>
                      <w:color w:val="000000"/>
                      <w:szCs w:val="21"/>
                    </w:rPr>
                  </w:pPr>
                  <w:r>
                    <w:rPr>
                      <w:rFonts w:hint="eastAsia"/>
                      <w:color w:val="000000"/>
                      <w:szCs w:val="21"/>
                    </w:rPr>
                    <w:t>6</w:t>
                  </w:r>
                  <w:r>
                    <w:rPr>
                      <w:color w:val="000000"/>
                      <w:szCs w:val="21"/>
                    </w:rPr>
                    <w:t>.1</w:t>
                  </w:r>
                  <w:r>
                    <w:rPr>
                      <w:rFonts w:hint="eastAsia"/>
                      <w:color w:val="000000"/>
                      <w:szCs w:val="21"/>
                    </w:rPr>
                    <w:t>基本误差</w:t>
                  </w:r>
                </w:p>
              </w:tc>
            </w:tr>
            <w:tr w14:paraId="672F9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2" w:type="dxa"/>
                  <w:gridSpan w:val="3"/>
                  <w:vAlign w:val="center"/>
                </w:tcPr>
                <w:p w14:paraId="6BA9ABC5">
                  <w:pPr>
                    <w:spacing w:line="300" w:lineRule="auto"/>
                    <w:jc w:val="center"/>
                    <w:rPr>
                      <w:rFonts w:hint="eastAsia" w:ascii="宋体" w:hAnsi="宋体"/>
                      <w:color w:val="000000"/>
                      <w:szCs w:val="21"/>
                      <w:u w:val="single"/>
                    </w:rPr>
                  </w:pP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向电能基本误差（%）</w:t>
                  </w:r>
                </w:p>
              </w:tc>
            </w:tr>
            <w:tr w14:paraId="7A7EF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2849FCE7">
                  <w:pPr>
                    <w:spacing w:line="300" w:lineRule="auto"/>
                    <w:rPr>
                      <w:color w:val="000000"/>
                      <w:szCs w:val="21"/>
                    </w:rPr>
                  </w:pPr>
                  <w:r>
                    <w:rPr>
                      <w:color w:val="000000"/>
                      <w:szCs w:val="21"/>
                    </w:rPr>
                    <w:t>电流</w:t>
                  </w:r>
                  <w:r>
                    <w:rPr>
                      <w:i/>
                      <w:iCs/>
                      <w:color w:val="000000"/>
                      <w:szCs w:val="21"/>
                    </w:rPr>
                    <w:t>I</w:t>
                  </w:r>
                </w:p>
              </w:tc>
              <w:tc>
                <w:tcPr>
                  <w:tcW w:w="1134" w:type="dxa"/>
                  <w:vAlign w:val="center"/>
                </w:tcPr>
                <w:p w14:paraId="3977FB4A">
                  <w:pPr>
                    <w:ind w:left="-105" w:leftChars="-50"/>
                    <w:jc w:val="center"/>
                    <w:rPr>
                      <w:color w:val="000000"/>
                      <w:szCs w:val="21"/>
                    </w:rPr>
                  </w:pPr>
                  <w:r>
                    <w:rPr>
                      <w:rFonts w:hint="eastAsia"/>
                      <w:color w:val="000000"/>
                      <w:szCs w:val="21"/>
                    </w:rPr>
                    <w:t>电压</w:t>
                  </w:r>
                  <w:r>
                    <w:rPr>
                      <w:rFonts w:hint="eastAsia"/>
                      <w:i/>
                      <w:iCs/>
                      <w:color w:val="000000"/>
                      <w:szCs w:val="21"/>
                    </w:rPr>
                    <w:t>U</w:t>
                  </w:r>
                </w:p>
              </w:tc>
              <w:tc>
                <w:tcPr>
                  <w:tcW w:w="5807" w:type="dxa"/>
                  <w:vAlign w:val="center"/>
                </w:tcPr>
                <w:p w14:paraId="4AF029C3">
                  <w:pPr>
                    <w:ind w:left="-105" w:leftChars="-50"/>
                    <w:jc w:val="center"/>
                    <w:rPr>
                      <w:color w:val="000000"/>
                      <w:szCs w:val="21"/>
                    </w:rPr>
                  </w:pPr>
                  <w:r>
                    <w:rPr>
                      <w:rFonts w:hint="eastAsia"/>
                      <w:color w:val="000000"/>
                      <w:szCs w:val="21"/>
                    </w:rPr>
                    <w:t>误差值</w:t>
                  </w:r>
                </w:p>
              </w:tc>
            </w:tr>
            <w:tr w14:paraId="71837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74AB7779">
                  <w:pPr>
                    <w:rPr>
                      <w:szCs w:val="21"/>
                    </w:rPr>
                  </w:pPr>
                  <w:r>
                    <w:rPr>
                      <w:i/>
                      <w:szCs w:val="21"/>
                    </w:rPr>
                    <w:t>I</w:t>
                  </w:r>
                  <w:r>
                    <w:rPr>
                      <w:szCs w:val="21"/>
                      <w:vertAlign w:val="subscript"/>
                    </w:rPr>
                    <w:t>max</w:t>
                  </w:r>
                </w:p>
              </w:tc>
              <w:tc>
                <w:tcPr>
                  <w:tcW w:w="1134" w:type="dxa"/>
                  <w:vMerge w:val="restart"/>
                  <w:vAlign w:val="center"/>
                </w:tcPr>
                <w:p w14:paraId="71135D75">
                  <w:pPr>
                    <w:jc w:val="center"/>
                    <w:rPr>
                      <w:color w:val="000000"/>
                      <w:szCs w:val="21"/>
                    </w:rPr>
                  </w:pPr>
                  <w:r>
                    <w:rPr>
                      <w:rFonts w:hint="eastAsia"/>
                      <w:i/>
                      <w:iCs/>
                      <w:color w:val="000000"/>
                      <w:szCs w:val="21"/>
                    </w:rPr>
                    <w:t>U</w:t>
                  </w:r>
                  <w:r>
                    <w:rPr>
                      <w:rFonts w:hint="eastAsia"/>
                      <w:color w:val="000000"/>
                      <w:szCs w:val="21"/>
                      <w:vertAlign w:val="subscript"/>
                    </w:rPr>
                    <w:t>n</w:t>
                  </w:r>
                </w:p>
              </w:tc>
              <w:tc>
                <w:tcPr>
                  <w:tcW w:w="5807" w:type="dxa"/>
                  <w:vAlign w:val="center"/>
                </w:tcPr>
                <w:p w14:paraId="0EF53F21">
                  <w:pPr>
                    <w:jc w:val="center"/>
                    <w:rPr>
                      <w:color w:val="000000"/>
                      <w:szCs w:val="21"/>
                    </w:rPr>
                  </w:pPr>
                </w:p>
              </w:tc>
            </w:tr>
            <w:tr w14:paraId="1C9C5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5C9B9FF9">
                  <w:pPr>
                    <w:rPr>
                      <w:szCs w:val="21"/>
                    </w:rPr>
                  </w:pPr>
                  <w:r>
                    <w:rPr>
                      <w:szCs w:val="21"/>
                    </w:rPr>
                    <w:t>0.5</w:t>
                  </w:r>
                  <w:r>
                    <w:rPr>
                      <w:i/>
                      <w:szCs w:val="21"/>
                    </w:rPr>
                    <w:t>I</w:t>
                  </w:r>
                  <w:r>
                    <w:rPr>
                      <w:szCs w:val="21"/>
                      <w:vertAlign w:val="subscript"/>
                    </w:rPr>
                    <w:t>max</w:t>
                  </w:r>
                </w:p>
              </w:tc>
              <w:tc>
                <w:tcPr>
                  <w:tcW w:w="1134" w:type="dxa"/>
                  <w:vMerge w:val="continue"/>
                  <w:vAlign w:val="center"/>
                </w:tcPr>
                <w:p w14:paraId="5954F3E3">
                  <w:pPr>
                    <w:rPr>
                      <w:color w:val="000000"/>
                      <w:szCs w:val="21"/>
                    </w:rPr>
                  </w:pPr>
                </w:p>
              </w:tc>
              <w:tc>
                <w:tcPr>
                  <w:tcW w:w="5807" w:type="dxa"/>
                  <w:vAlign w:val="center"/>
                </w:tcPr>
                <w:p w14:paraId="2B1D42E7">
                  <w:pPr>
                    <w:jc w:val="center"/>
                    <w:rPr>
                      <w:color w:val="000000"/>
                      <w:szCs w:val="21"/>
                    </w:rPr>
                  </w:pPr>
                </w:p>
              </w:tc>
            </w:tr>
            <w:tr w14:paraId="0D8A0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3618CFEE">
                  <w:pPr>
                    <w:spacing w:line="300" w:lineRule="auto"/>
                    <w:rPr>
                      <w:color w:val="000000"/>
                      <w:szCs w:val="21"/>
                    </w:rPr>
                  </w:pPr>
                  <w:r>
                    <w:rPr>
                      <w:i/>
                      <w:szCs w:val="24"/>
                    </w:rPr>
                    <w:t>I</w:t>
                  </w:r>
                  <w:r>
                    <w:rPr>
                      <w:rFonts w:hint="eastAsia"/>
                      <w:szCs w:val="21"/>
                      <w:vertAlign w:val="subscript"/>
                    </w:rPr>
                    <w:t>n</w:t>
                  </w:r>
                </w:p>
              </w:tc>
              <w:tc>
                <w:tcPr>
                  <w:tcW w:w="1134" w:type="dxa"/>
                  <w:vMerge w:val="continue"/>
                  <w:vAlign w:val="center"/>
                </w:tcPr>
                <w:p w14:paraId="70EDA637">
                  <w:pPr>
                    <w:rPr>
                      <w:color w:val="000000"/>
                      <w:szCs w:val="21"/>
                    </w:rPr>
                  </w:pPr>
                </w:p>
              </w:tc>
              <w:tc>
                <w:tcPr>
                  <w:tcW w:w="5807" w:type="dxa"/>
                  <w:vAlign w:val="center"/>
                </w:tcPr>
                <w:p w14:paraId="680E7421">
                  <w:pPr>
                    <w:jc w:val="center"/>
                    <w:rPr>
                      <w:color w:val="000000"/>
                      <w:szCs w:val="21"/>
                    </w:rPr>
                  </w:pPr>
                </w:p>
              </w:tc>
            </w:tr>
            <w:tr w14:paraId="5DC02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028B499E">
                  <w:pPr>
                    <w:spacing w:line="300" w:lineRule="auto"/>
                    <w:rPr>
                      <w:color w:val="000000"/>
                      <w:szCs w:val="21"/>
                    </w:rPr>
                  </w:pPr>
                  <w:r>
                    <w:rPr>
                      <w:szCs w:val="24"/>
                    </w:rPr>
                    <w:t>0.</w:t>
                  </w:r>
                  <w:r>
                    <w:rPr>
                      <w:rFonts w:hint="eastAsia"/>
                      <w:szCs w:val="24"/>
                    </w:rPr>
                    <w:t>1</w:t>
                  </w:r>
                  <w:r>
                    <w:rPr>
                      <w:i/>
                      <w:szCs w:val="24"/>
                    </w:rPr>
                    <w:t>I</w:t>
                  </w:r>
                  <w:r>
                    <w:rPr>
                      <w:rFonts w:hint="eastAsia"/>
                      <w:szCs w:val="21"/>
                      <w:vertAlign w:val="subscript"/>
                    </w:rPr>
                    <w:t>n</w:t>
                  </w:r>
                </w:p>
              </w:tc>
              <w:tc>
                <w:tcPr>
                  <w:tcW w:w="1134" w:type="dxa"/>
                  <w:vMerge w:val="continue"/>
                  <w:vAlign w:val="center"/>
                </w:tcPr>
                <w:p w14:paraId="3493F336">
                  <w:pPr>
                    <w:rPr>
                      <w:color w:val="000000"/>
                      <w:szCs w:val="21"/>
                    </w:rPr>
                  </w:pPr>
                </w:p>
              </w:tc>
              <w:tc>
                <w:tcPr>
                  <w:tcW w:w="5807" w:type="dxa"/>
                  <w:vAlign w:val="center"/>
                </w:tcPr>
                <w:p w14:paraId="2AE63D08">
                  <w:pPr>
                    <w:jc w:val="center"/>
                    <w:rPr>
                      <w:color w:val="000000"/>
                      <w:szCs w:val="21"/>
                    </w:rPr>
                  </w:pPr>
                </w:p>
              </w:tc>
            </w:tr>
            <w:tr w14:paraId="6DBA5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2EC9F55E">
                  <w:pPr>
                    <w:spacing w:line="300" w:lineRule="auto"/>
                    <w:rPr>
                      <w:color w:val="000000"/>
                      <w:szCs w:val="21"/>
                    </w:rPr>
                  </w:pPr>
                  <w:r>
                    <w:rPr>
                      <w:i/>
                      <w:szCs w:val="21"/>
                    </w:rPr>
                    <w:t>I</w:t>
                  </w:r>
                  <w:r>
                    <w:rPr>
                      <w:szCs w:val="21"/>
                      <w:vertAlign w:val="subscript"/>
                    </w:rPr>
                    <w:t>min</w:t>
                  </w:r>
                </w:p>
              </w:tc>
              <w:tc>
                <w:tcPr>
                  <w:tcW w:w="1134" w:type="dxa"/>
                  <w:vMerge w:val="continue"/>
                  <w:vAlign w:val="center"/>
                </w:tcPr>
                <w:p w14:paraId="14D6D6B1">
                  <w:pPr>
                    <w:rPr>
                      <w:color w:val="000000"/>
                      <w:szCs w:val="21"/>
                    </w:rPr>
                  </w:pPr>
                </w:p>
              </w:tc>
              <w:tc>
                <w:tcPr>
                  <w:tcW w:w="5807" w:type="dxa"/>
                  <w:vAlign w:val="center"/>
                </w:tcPr>
                <w:p w14:paraId="10F6F8FB">
                  <w:pPr>
                    <w:jc w:val="center"/>
                    <w:rPr>
                      <w:color w:val="000000"/>
                      <w:szCs w:val="21"/>
                    </w:rPr>
                  </w:pPr>
                </w:p>
              </w:tc>
            </w:tr>
          </w:tbl>
          <w:p w14:paraId="30223E15">
            <w:pPr>
              <w:adjustRightInd w:val="0"/>
              <w:snapToGrid w:val="0"/>
              <w:spacing w:line="360" w:lineRule="auto"/>
              <w:jc w:val="left"/>
              <w:rPr>
                <w:szCs w:val="21"/>
              </w:rPr>
            </w:pPr>
          </w:p>
          <w:p w14:paraId="7D610DE3">
            <w:pPr>
              <w:numPr>
                <w:ilvl w:val="0"/>
                <w:numId w:val="15"/>
              </w:numPr>
              <w:adjustRightInd w:val="0"/>
              <w:snapToGrid w:val="0"/>
              <w:spacing w:line="360" w:lineRule="auto"/>
              <w:jc w:val="left"/>
              <w:rPr>
                <w:rFonts w:hint="eastAsia" w:ascii="宋体" w:hAnsi="宋体"/>
                <w:color w:val="000000"/>
                <w:szCs w:val="21"/>
              </w:rPr>
            </w:pPr>
            <w:r>
              <w:rPr>
                <w:rFonts w:hint="eastAsia" w:ascii="宋体" w:hAnsi="宋体"/>
                <w:color w:val="000000"/>
                <w:szCs w:val="21"/>
              </w:rPr>
              <w:t>仪表常数试验:</w:t>
            </w:r>
          </w:p>
          <w:p w14:paraId="0F5EB727">
            <w:pPr>
              <w:numPr>
                <w:ilvl w:val="0"/>
                <w:numId w:val="15"/>
              </w:numPr>
              <w:adjustRightInd w:val="0"/>
              <w:snapToGrid w:val="0"/>
              <w:jc w:val="left"/>
              <w:rPr>
                <w:rFonts w:hint="eastAsia" w:ascii="宋体" w:hAnsi="宋体"/>
                <w:szCs w:val="21"/>
              </w:rPr>
            </w:pPr>
            <w:r>
              <w:rPr>
                <w:rFonts w:hint="eastAsia" w:ascii="宋体" w:hAnsi="宋体"/>
                <w:szCs w:val="21"/>
              </w:rPr>
              <w:t>时间（时刻）示值误差:</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7"/>
              <w:gridCol w:w="3271"/>
            </w:tblGrid>
            <w:tr w14:paraId="6036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17" w:type="dxa"/>
                  <w:vAlign w:val="center"/>
                </w:tcPr>
                <w:p w14:paraId="3FA5060B">
                  <w:pPr>
                    <w:rPr>
                      <w:rFonts w:hint="eastAsia" w:ascii="宋体" w:hAnsi="宋体"/>
                      <w:szCs w:val="21"/>
                    </w:rPr>
                  </w:pPr>
                  <w:r>
                    <w:rPr>
                      <w:rFonts w:hint="eastAsia" w:ascii="宋体" w:hAnsi="宋体"/>
                      <w:szCs w:val="21"/>
                    </w:rPr>
                    <w:t>日计时误差</w:t>
                  </w:r>
                </w:p>
              </w:tc>
              <w:tc>
                <w:tcPr>
                  <w:tcW w:w="3271" w:type="dxa"/>
                  <w:vAlign w:val="center"/>
                </w:tcPr>
                <w:p w14:paraId="38E5BAA6">
                  <w:pPr>
                    <w:jc w:val="center"/>
                    <w:rPr>
                      <w:rFonts w:hint="eastAsia" w:ascii="宋体" w:hAnsi="宋体"/>
                      <w:szCs w:val="21"/>
                    </w:rPr>
                  </w:pPr>
                  <w:r>
                    <w:rPr>
                      <w:rFonts w:ascii="宋体" w:hAnsi="宋体"/>
                      <w:szCs w:val="21"/>
                    </w:rPr>
                    <w:t>s/d</w:t>
                  </w:r>
                </w:p>
              </w:tc>
            </w:tr>
            <w:tr w14:paraId="1FF83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17" w:type="dxa"/>
                  <w:vAlign w:val="center"/>
                </w:tcPr>
                <w:p w14:paraId="1D33C334">
                  <w:pPr>
                    <w:rPr>
                      <w:rFonts w:hint="eastAsia" w:ascii="宋体" w:hAnsi="宋体"/>
                      <w:szCs w:val="21"/>
                    </w:rPr>
                  </w:pPr>
                  <w:r>
                    <w:rPr>
                      <w:rFonts w:hint="eastAsia" w:ascii="宋体" w:hAnsi="宋体"/>
                      <w:szCs w:val="21"/>
                    </w:rPr>
                    <w:t>时间（时刻）示值误差</w:t>
                  </w:r>
                </w:p>
              </w:tc>
              <w:tc>
                <w:tcPr>
                  <w:tcW w:w="3271" w:type="dxa"/>
                  <w:vAlign w:val="center"/>
                </w:tcPr>
                <w:p w14:paraId="65D46373">
                  <w:pPr>
                    <w:jc w:val="center"/>
                    <w:rPr>
                      <w:rFonts w:hint="eastAsia" w:ascii="宋体" w:hAnsi="宋体"/>
                      <w:szCs w:val="21"/>
                    </w:rPr>
                  </w:pPr>
                  <w:r>
                    <w:rPr>
                      <w:rFonts w:hint="eastAsia" w:ascii="宋体" w:hAnsi="宋体"/>
                      <w:szCs w:val="21"/>
                    </w:rPr>
                    <w:t>s</w:t>
                  </w:r>
                </w:p>
              </w:tc>
            </w:tr>
          </w:tbl>
          <w:p w14:paraId="0F69BD20">
            <w:pPr>
              <w:adjustRightInd w:val="0"/>
              <w:snapToGrid w:val="0"/>
              <w:spacing w:line="360" w:lineRule="auto"/>
              <w:jc w:val="left"/>
              <w:rPr>
                <w:rFonts w:hint="eastAsia" w:ascii="宋体" w:hAnsi="宋体"/>
                <w:color w:val="000000"/>
                <w:szCs w:val="21"/>
              </w:rPr>
            </w:pPr>
          </w:p>
          <w:p w14:paraId="66893C8E">
            <w:pPr>
              <w:numPr>
                <w:ilvl w:val="0"/>
                <w:numId w:val="15"/>
              </w:numPr>
              <w:adjustRightInd w:val="0"/>
              <w:snapToGrid w:val="0"/>
              <w:spacing w:line="360" w:lineRule="auto"/>
              <w:jc w:val="left"/>
              <w:rPr>
                <w:rFonts w:hint="eastAsia" w:ascii="宋体" w:hAnsi="宋体"/>
                <w:color w:val="000000"/>
                <w:szCs w:val="21"/>
              </w:rPr>
            </w:pPr>
            <w:r>
              <w:rPr>
                <w:rFonts w:hint="eastAsia" w:ascii="宋体" w:hAnsi="宋体"/>
                <w:color w:val="000000"/>
                <w:szCs w:val="21"/>
              </w:rPr>
              <w:t>电能示值组合误差:</w:t>
            </w:r>
          </w:p>
          <w:p w14:paraId="2CB47164">
            <w:pPr>
              <w:adjustRightInd w:val="0"/>
              <w:snapToGrid w:val="0"/>
              <w:spacing w:line="360" w:lineRule="auto"/>
              <w:jc w:val="left"/>
              <w:rPr>
                <w:szCs w:val="21"/>
              </w:rPr>
            </w:pPr>
          </w:p>
        </w:tc>
      </w:tr>
    </w:tbl>
    <w:p w14:paraId="345E8DB1">
      <w:pPr>
        <w:spacing w:line="360" w:lineRule="auto"/>
        <w:jc w:val="center"/>
        <w:rPr>
          <w:szCs w:val="21"/>
        </w:rPr>
      </w:pPr>
      <w:r>
        <w:rPr>
          <w:rFonts w:hint="eastAsia"/>
          <w:szCs w:val="21"/>
        </w:rPr>
        <w:t>第X页 共X页</w:t>
      </w:r>
    </w:p>
    <w:p w14:paraId="2A6E9D0A">
      <w:pPr>
        <w:jc w:val="center"/>
        <w:rPr>
          <w:rFonts w:ascii="宋体"/>
          <w:szCs w:val="48"/>
        </w:rPr>
      </w:pPr>
    </w:p>
    <w:p w14:paraId="708B4506">
      <w:pPr>
        <w:jc w:val="center"/>
        <w:rPr>
          <w:rFonts w:ascii="宋体"/>
          <w:szCs w:val="48"/>
        </w:rPr>
      </w:pPr>
    </w:p>
    <w:p w14:paraId="0B81F245">
      <w:pPr>
        <w:rPr>
          <w:rFonts w:ascii="宋体"/>
          <w:szCs w:val="48"/>
        </w:rPr>
      </w:pPr>
    </w:p>
    <w:p w14:paraId="1337F7C4">
      <w:pPr>
        <w:jc w:val="center"/>
        <w:rPr>
          <w:rFonts w:ascii="宋体"/>
          <w:szCs w:val="48"/>
        </w:rPr>
      </w:pPr>
      <w:r>
        <w:rPr>
          <w:rFonts w:hint="eastAsia" w:ascii="宋体"/>
          <w:szCs w:val="48"/>
        </w:rPr>
        <w:t>证书编号 XXXXXX-XXXX</w:t>
      </w:r>
    </w:p>
    <w:p w14:paraId="6528E49B">
      <w:pPr>
        <w:spacing w:before="499" w:beforeLines="160" w:line="270" w:lineRule="exact"/>
        <w:jc w:val="center"/>
        <w:rPr>
          <w:rFonts w:ascii="黑体" w:eastAsia="黑体"/>
          <w:sz w:val="48"/>
          <w:szCs w:val="48"/>
        </w:rPr>
      </w:pPr>
      <w:r>
        <w:rPr>
          <w:rFonts w:hint="eastAsia" w:ascii="黑体" w:eastAsia="黑体"/>
          <w:sz w:val="48"/>
          <w:szCs w:val="48"/>
        </w:rPr>
        <w:t>检 定 结 果</w:t>
      </w:r>
    </w:p>
    <w:tbl>
      <w:tblPr>
        <w:tblStyle w:val="33"/>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8460"/>
      </w:tblGrid>
      <w:tr w14:paraId="7A25947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10675" w:hRule="exact"/>
          <w:jc w:val="center"/>
        </w:trPr>
        <w:tc>
          <w:tcPr>
            <w:tcW w:w="8460" w:type="dxa"/>
          </w:tcPr>
          <w:p w14:paraId="6CD6F64F">
            <w:pPr>
              <w:spacing w:line="360" w:lineRule="auto"/>
              <w:jc w:val="left"/>
              <w:rPr>
                <w:szCs w:val="21"/>
              </w:rPr>
            </w:pPr>
          </w:p>
          <w:p w14:paraId="2D1B3CDF">
            <w:pPr>
              <w:numPr>
                <w:ilvl w:val="0"/>
                <w:numId w:val="15"/>
              </w:numPr>
              <w:adjustRightInd w:val="0"/>
              <w:snapToGrid w:val="0"/>
              <w:spacing w:line="360" w:lineRule="auto"/>
              <w:jc w:val="left"/>
              <w:rPr>
                <w:rFonts w:hint="eastAsia" w:ascii="宋体" w:hAnsi="宋体"/>
                <w:color w:val="000000"/>
                <w:szCs w:val="21"/>
              </w:rPr>
            </w:pPr>
            <w:r>
              <w:rPr>
                <w:rFonts w:hint="eastAsia" w:ascii="宋体" w:hAnsi="宋体"/>
                <w:color w:val="000000"/>
                <w:szCs w:val="21"/>
              </w:rPr>
              <w:t>负载电流升降变差试验:</w:t>
            </w:r>
          </w:p>
          <w:tbl>
            <w:tblPr>
              <w:tblStyle w:val="143"/>
              <w:tblW w:w="8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34"/>
              <w:gridCol w:w="5807"/>
            </w:tblGrid>
            <w:tr w14:paraId="01F69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08FB0F5B">
                  <w:pPr>
                    <w:spacing w:line="300" w:lineRule="auto"/>
                    <w:rPr>
                      <w:color w:val="000000"/>
                      <w:szCs w:val="21"/>
                    </w:rPr>
                  </w:pPr>
                  <w:r>
                    <w:rPr>
                      <w:color w:val="000000"/>
                      <w:szCs w:val="21"/>
                    </w:rPr>
                    <w:t>电流</w:t>
                  </w:r>
                  <w:r>
                    <w:rPr>
                      <w:i/>
                      <w:iCs/>
                      <w:color w:val="000000"/>
                      <w:szCs w:val="21"/>
                    </w:rPr>
                    <w:t>I</w:t>
                  </w:r>
                </w:p>
              </w:tc>
              <w:tc>
                <w:tcPr>
                  <w:tcW w:w="1134" w:type="dxa"/>
                  <w:vAlign w:val="center"/>
                </w:tcPr>
                <w:p w14:paraId="2288CF75">
                  <w:pPr>
                    <w:ind w:left="-105" w:leftChars="-50"/>
                    <w:jc w:val="center"/>
                    <w:rPr>
                      <w:color w:val="000000"/>
                      <w:szCs w:val="21"/>
                    </w:rPr>
                  </w:pPr>
                  <w:r>
                    <w:rPr>
                      <w:rFonts w:hint="eastAsia"/>
                      <w:color w:val="000000"/>
                      <w:szCs w:val="21"/>
                    </w:rPr>
                    <w:t>电压</w:t>
                  </w:r>
                  <w:r>
                    <w:rPr>
                      <w:rFonts w:hint="eastAsia"/>
                      <w:i/>
                      <w:iCs/>
                      <w:color w:val="000000"/>
                      <w:szCs w:val="21"/>
                    </w:rPr>
                    <w:t>U</w:t>
                  </w:r>
                </w:p>
              </w:tc>
              <w:tc>
                <w:tcPr>
                  <w:tcW w:w="5807" w:type="dxa"/>
                  <w:vAlign w:val="center"/>
                </w:tcPr>
                <w:p w14:paraId="758B7439">
                  <w:pPr>
                    <w:ind w:left="-105" w:leftChars="-50"/>
                    <w:jc w:val="center"/>
                    <w:rPr>
                      <w:color w:val="000000"/>
                      <w:szCs w:val="21"/>
                    </w:rPr>
                  </w:pPr>
                  <w:r>
                    <w:rPr>
                      <w:rFonts w:hint="eastAsia"/>
                      <w:color w:val="000000"/>
                      <w:szCs w:val="21"/>
                    </w:rPr>
                    <w:t>升降变差值</w:t>
                  </w:r>
                </w:p>
              </w:tc>
            </w:tr>
            <w:tr w14:paraId="0DF7A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6CC3F34B">
                  <w:pPr>
                    <w:rPr>
                      <w:szCs w:val="21"/>
                    </w:rPr>
                  </w:pPr>
                  <w:r>
                    <w:rPr>
                      <w:i/>
                      <w:szCs w:val="21"/>
                    </w:rPr>
                    <w:t>I</w:t>
                  </w:r>
                  <w:r>
                    <w:rPr>
                      <w:szCs w:val="21"/>
                      <w:vertAlign w:val="subscript"/>
                    </w:rPr>
                    <w:t>max</w:t>
                  </w:r>
                </w:p>
              </w:tc>
              <w:tc>
                <w:tcPr>
                  <w:tcW w:w="1134" w:type="dxa"/>
                  <w:vMerge w:val="restart"/>
                  <w:vAlign w:val="center"/>
                </w:tcPr>
                <w:p w14:paraId="34596CB3">
                  <w:pPr>
                    <w:jc w:val="center"/>
                    <w:rPr>
                      <w:color w:val="000000"/>
                      <w:szCs w:val="21"/>
                    </w:rPr>
                  </w:pPr>
                  <w:r>
                    <w:rPr>
                      <w:rFonts w:hint="eastAsia"/>
                      <w:i/>
                      <w:iCs/>
                      <w:color w:val="000000"/>
                      <w:szCs w:val="21"/>
                    </w:rPr>
                    <w:t>U</w:t>
                  </w:r>
                  <w:r>
                    <w:rPr>
                      <w:rFonts w:hint="eastAsia"/>
                      <w:color w:val="000000"/>
                      <w:szCs w:val="21"/>
                      <w:vertAlign w:val="subscript"/>
                    </w:rPr>
                    <w:t>n</w:t>
                  </w:r>
                </w:p>
              </w:tc>
              <w:tc>
                <w:tcPr>
                  <w:tcW w:w="5807" w:type="dxa"/>
                  <w:vAlign w:val="center"/>
                </w:tcPr>
                <w:p w14:paraId="65ABE185">
                  <w:pPr>
                    <w:jc w:val="center"/>
                    <w:rPr>
                      <w:color w:val="000000"/>
                      <w:szCs w:val="21"/>
                    </w:rPr>
                  </w:pPr>
                </w:p>
              </w:tc>
            </w:tr>
            <w:tr w14:paraId="2A49B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7167BFE4">
                  <w:pPr>
                    <w:rPr>
                      <w:szCs w:val="21"/>
                    </w:rPr>
                  </w:pPr>
                  <w:r>
                    <w:rPr>
                      <w:szCs w:val="21"/>
                    </w:rPr>
                    <w:t>0.5</w:t>
                  </w:r>
                  <w:r>
                    <w:rPr>
                      <w:i/>
                      <w:szCs w:val="21"/>
                    </w:rPr>
                    <w:t>I</w:t>
                  </w:r>
                  <w:r>
                    <w:rPr>
                      <w:szCs w:val="21"/>
                      <w:vertAlign w:val="subscript"/>
                    </w:rPr>
                    <w:t>max</w:t>
                  </w:r>
                </w:p>
              </w:tc>
              <w:tc>
                <w:tcPr>
                  <w:tcW w:w="1134" w:type="dxa"/>
                  <w:vMerge w:val="continue"/>
                  <w:vAlign w:val="center"/>
                </w:tcPr>
                <w:p w14:paraId="34398411">
                  <w:pPr>
                    <w:rPr>
                      <w:color w:val="000000"/>
                      <w:szCs w:val="21"/>
                    </w:rPr>
                  </w:pPr>
                </w:p>
              </w:tc>
              <w:tc>
                <w:tcPr>
                  <w:tcW w:w="5807" w:type="dxa"/>
                  <w:vAlign w:val="center"/>
                </w:tcPr>
                <w:p w14:paraId="1D8C4BEE">
                  <w:pPr>
                    <w:jc w:val="center"/>
                    <w:rPr>
                      <w:color w:val="000000"/>
                      <w:szCs w:val="21"/>
                    </w:rPr>
                  </w:pPr>
                </w:p>
              </w:tc>
            </w:tr>
            <w:tr w14:paraId="52051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68C26A91">
                  <w:pPr>
                    <w:spacing w:line="300" w:lineRule="auto"/>
                    <w:rPr>
                      <w:color w:val="000000"/>
                      <w:szCs w:val="21"/>
                    </w:rPr>
                  </w:pPr>
                  <w:r>
                    <w:rPr>
                      <w:i/>
                      <w:szCs w:val="24"/>
                    </w:rPr>
                    <w:t>I</w:t>
                  </w:r>
                  <w:r>
                    <w:rPr>
                      <w:rFonts w:hint="eastAsia"/>
                      <w:szCs w:val="21"/>
                      <w:vertAlign w:val="subscript"/>
                    </w:rPr>
                    <w:t>n</w:t>
                  </w:r>
                </w:p>
              </w:tc>
              <w:tc>
                <w:tcPr>
                  <w:tcW w:w="1134" w:type="dxa"/>
                  <w:vMerge w:val="continue"/>
                  <w:vAlign w:val="center"/>
                </w:tcPr>
                <w:p w14:paraId="057F3790">
                  <w:pPr>
                    <w:rPr>
                      <w:color w:val="000000"/>
                      <w:szCs w:val="21"/>
                    </w:rPr>
                  </w:pPr>
                </w:p>
              </w:tc>
              <w:tc>
                <w:tcPr>
                  <w:tcW w:w="5807" w:type="dxa"/>
                  <w:vAlign w:val="center"/>
                </w:tcPr>
                <w:p w14:paraId="7C833E97">
                  <w:pPr>
                    <w:jc w:val="center"/>
                    <w:rPr>
                      <w:color w:val="000000"/>
                      <w:szCs w:val="21"/>
                    </w:rPr>
                  </w:pPr>
                </w:p>
              </w:tc>
            </w:tr>
            <w:tr w14:paraId="67731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2881F5C0">
                  <w:pPr>
                    <w:spacing w:line="300" w:lineRule="auto"/>
                    <w:rPr>
                      <w:color w:val="000000"/>
                      <w:szCs w:val="21"/>
                    </w:rPr>
                  </w:pPr>
                  <w:r>
                    <w:rPr>
                      <w:szCs w:val="24"/>
                    </w:rPr>
                    <w:t>0.</w:t>
                  </w:r>
                  <w:r>
                    <w:rPr>
                      <w:rFonts w:hint="eastAsia"/>
                      <w:szCs w:val="24"/>
                    </w:rPr>
                    <w:t>1</w:t>
                  </w:r>
                  <w:r>
                    <w:rPr>
                      <w:i/>
                      <w:szCs w:val="24"/>
                    </w:rPr>
                    <w:t>I</w:t>
                  </w:r>
                  <w:r>
                    <w:rPr>
                      <w:rFonts w:hint="eastAsia"/>
                      <w:szCs w:val="21"/>
                      <w:vertAlign w:val="subscript"/>
                    </w:rPr>
                    <w:t>n</w:t>
                  </w:r>
                </w:p>
              </w:tc>
              <w:tc>
                <w:tcPr>
                  <w:tcW w:w="1134" w:type="dxa"/>
                  <w:vMerge w:val="continue"/>
                  <w:vAlign w:val="center"/>
                </w:tcPr>
                <w:p w14:paraId="1CBD8DEF">
                  <w:pPr>
                    <w:rPr>
                      <w:color w:val="000000"/>
                      <w:szCs w:val="21"/>
                    </w:rPr>
                  </w:pPr>
                </w:p>
              </w:tc>
              <w:tc>
                <w:tcPr>
                  <w:tcW w:w="5807" w:type="dxa"/>
                  <w:vAlign w:val="center"/>
                </w:tcPr>
                <w:p w14:paraId="2EFAD2BB">
                  <w:pPr>
                    <w:jc w:val="center"/>
                    <w:rPr>
                      <w:color w:val="000000"/>
                      <w:szCs w:val="21"/>
                    </w:rPr>
                  </w:pPr>
                </w:p>
              </w:tc>
            </w:tr>
            <w:tr w14:paraId="18168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Align w:val="center"/>
                </w:tcPr>
                <w:p w14:paraId="4692540F">
                  <w:pPr>
                    <w:spacing w:line="300" w:lineRule="auto"/>
                    <w:rPr>
                      <w:color w:val="000000"/>
                      <w:szCs w:val="21"/>
                    </w:rPr>
                  </w:pPr>
                  <w:r>
                    <w:rPr>
                      <w:i/>
                      <w:szCs w:val="21"/>
                    </w:rPr>
                    <w:t>I</w:t>
                  </w:r>
                  <w:r>
                    <w:rPr>
                      <w:szCs w:val="21"/>
                      <w:vertAlign w:val="subscript"/>
                    </w:rPr>
                    <w:t>min</w:t>
                  </w:r>
                </w:p>
              </w:tc>
              <w:tc>
                <w:tcPr>
                  <w:tcW w:w="1134" w:type="dxa"/>
                  <w:vMerge w:val="continue"/>
                  <w:vAlign w:val="center"/>
                </w:tcPr>
                <w:p w14:paraId="76AFB018">
                  <w:pPr>
                    <w:rPr>
                      <w:color w:val="000000"/>
                      <w:szCs w:val="21"/>
                    </w:rPr>
                  </w:pPr>
                </w:p>
              </w:tc>
              <w:tc>
                <w:tcPr>
                  <w:tcW w:w="5807" w:type="dxa"/>
                  <w:vAlign w:val="center"/>
                </w:tcPr>
                <w:p w14:paraId="4D037118">
                  <w:pPr>
                    <w:jc w:val="center"/>
                    <w:rPr>
                      <w:color w:val="000000"/>
                      <w:szCs w:val="21"/>
                    </w:rPr>
                  </w:pPr>
                </w:p>
              </w:tc>
            </w:tr>
          </w:tbl>
          <w:p w14:paraId="3250A0D0">
            <w:pPr>
              <w:adjustRightInd w:val="0"/>
              <w:snapToGrid w:val="0"/>
              <w:spacing w:line="360" w:lineRule="auto"/>
              <w:jc w:val="left"/>
              <w:rPr>
                <w:rFonts w:hint="eastAsia" w:ascii="宋体" w:hAnsi="宋体"/>
                <w:color w:val="000000"/>
                <w:szCs w:val="21"/>
              </w:rPr>
            </w:pPr>
          </w:p>
          <w:p w14:paraId="4A8E4248">
            <w:pPr>
              <w:spacing w:line="360" w:lineRule="auto"/>
              <w:jc w:val="left"/>
              <w:rPr>
                <w:szCs w:val="21"/>
              </w:rPr>
            </w:pPr>
            <w:r>
              <w:rPr>
                <w:rFonts w:hint="eastAsia"/>
                <w:szCs w:val="21"/>
              </w:rPr>
              <w:t>检定结果不合格项：</w:t>
            </w:r>
          </w:p>
          <w:p w14:paraId="4E919E85">
            <w:pPr>
              <w:spacing w:line="360" w:lineRule="auto"/>
              <w:jc w:val="left"/>
              <w:rPr>
                <w:rFonts w:hint="eastAsia" w:ascii="宋体" w:hAnsi="宋体"/>
                <w:szCs w:val="21"/>
              </w:rPr>
            </w:pPr>
          </w:p>
          <w:p w14:paraId="437B3067">
            <w:pPr>
              <w:spacing w:line="360" w:lineRule="auto"/>
              <w:jc w:val="center"/>
              <w:rPr>
                <w:szCs w:val="21"/>
              </w:rPr>
            </w:pPr>
          </w:p>
          <w:p w14:paraId="67FCC252">
            <w:pPr>
              <w:spacing w:line="360" w:lineRule="auto"/>
              <w:jc w:val="center"/>
              <w:rPr>
                <w:szCs w:val="21"/>
              </w:rPr>
            </w:pPr>
          </w:p>
          <w:p w14:paraId="66B7BAFF">
            <w:pPr>
              <w:spacing w:line="360" w:lineRule="auto"/>
              <w:jc w:val="center"/>
              <w:rPr>
                <w:szCs w:val="21"/>
              </w:rPr>
            </w:pPr>
            <w:r>
              <w:rPr>
                <w:rFonts w:hint="eastAsia"/>
                <w:szCs w:val="21"/>
              </w:rPr>
              <w:t>以下空白</w:t>
            </w:r>
          </w:p>
          <w:p w14:paraId="318DC877">
            <w:pPr>
              <w:spacing w:line="360" w:lineRule="auto"/>
              <w:jc w:val="left"/>
              <w:rPr>
                <w:sz w:val="24"/>
                <w:szCs w:val="24"/>
              </w:rPr>
            </w:pPr>
          </w:p>
          <w:p w14:paraId="2750526D">
            <w:pPr>
              <w:spacing w:line="360" w:lineRule="auto"/>
              <w:jc w:val="left"/>
              <w:rPr>
                <w:sz w:val="24"/>
                <w:szCs w:val="24"/>
              </w:rPr>
            </w:pPr>
          </w:p>
          <w:p w14:paraId="4F76E73A">
            <w:pPr>
              <w:spacing w:line="360" w:lineRule="auto"/>
              <w:jc w:val="left"/>
              <w:rPr>
                <w:sz w:val="24"/>
                <w:szCs w:val="24"/>
              </w:rPr>
            </w:pPr>
          </w:p>
          <w:p w14:paraId="1F918ECA">
            <w:pPr>
              <w:spacing w:line="360" w:lineRule="auto"/>
              <w:jc w:val="left"/>
              <w:rPr>
                <w:sz w:val="24"/>
                <w:szCs w:val="24"/>
              </w:rPr>
            </w:pPr>
          </w:p>
          <w:p w14:paraId="2E1F9262">
            <w:pPr>
              <w:spacing w:line="360" w:lineRule="auto"/>
              <w:jc w:val="left"/>
              <w:rPr>
                <w:sz w:val="24"/>
                <w:szCs w:val="24"/>
              </w:rPr>
            </w:pPr>
          </w:p>
          <w:p w14:paraId="0C3F7985">
            <w:pPr>
              <w:adjustRightInd w:val="0"/>
              <w:snapToGrid w:val="0"/>
              <w:spacing w:line="360" w:lineRule="auto"/>
              <w:ind w:firstLine="945" w:firstLineChars="450"/>
              <w:jc w:val="left"/>
              <w:rPr>
                <w:szCs w:val="21"/>
              </w:rPr>
            </w:pPr>
          </w:p>
        </w:tc>
      </w:tr>
    </w:tbl>
    <w:p w14:paraId="0EBD9F6E">
      <w:pPr>
        <w:spacing w:line="360" w:lineRule="auto"/>
        <w:jc w:val="center"/>
        <w:rPr>
          <w:rFonts w:ascii="黑体" w:eastAsia="黑体"/>
          <w:sz w:val="28"/>
          <w:szCs w:val="28"/>
        </w:rPr>
      </w:pPr>
      <w:r>
        <w:rPr>
          <w:rFonts w:hint="eastAsia"/>
          <w:szCs w:val="21"/>
        </w:rPr>
        <w:t>第X页 共X页</w:t>
      </w:r>
    </w:p>
    <w:p w14:paraId="127FFBF6">
      <w:pPr>
        <w:widowControl/>
        <w:jc w:val="left"/>
        <w:rPr>
          <w:rFonts w:ascii="黑体" w:eastAsia="黑体"/>
          <w:sz w:val="28"/>
          <w:szCs w:val="28"/>
        </w:rPr>
      </w:pPr>
    </w:p>
    <w:sectPr>
      <w:pgSz w:w="11906" w:h="16838"/>
      <w:pgMar w:top="1985" w:right="1134" w:bottom="1418" w:left="1418" w:header="1418" w:footer="1304"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細明體">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roman"/>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77422">
    <w:pPr>
      <w:pStyle w:val="21"/>
      <w:jc w:val="right"/>
      <w:rPr>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A9C89">
    <w:pPr>
      <w:pStyle w:val="21"/>
    </w:pPr>
    <w:r>
      <w:rPr>
        <w:rStyle w:val="36"/>
        <w:rFonts w:hint="eastAsia"/>
      </w:rPr>
      <w:t xml:space="preserve">                                                                                                      </w:t>
    </w:r>
    <w:r>
      <w:rPr>
        <w:rStyle w:val="36"/>
      </w:rPr>
      <w:fldChar w:fldCharType="begin"/>
    </w:r>
    <w:r>
      <w:rPr>
        <w:rStyle w:val="36"/>
      </w:rPr>
      <w:instrText xml:space="preserve"> PAGE </w:instrText>
    </w:r>
    <w:r>
      <w:rPr>
        <w:rStyle w:val="36"/>
      </w:rPr>
      <w:fldChar w:fldCharType="separate"/>
    </w:r>
    <w:r>
      <w:rPr>
        <w:rStyle w:val="36"/>
      </w:rPr>
      <w:t>26</w:t>
    </w:r>
    <w:r>
      <w:rPr>
        <w:rStyle w:val="3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FC2AD">
    <w:pPr>
      <w:pStyle w:val="21"/>
      <w:jc w:val="right"/>
      <w:rPr>
        <w:sz w:val="21"/>
        <w:szCs w:val="21"/>
      </w:rPr>
    </w:pPr>
    <w:r>
      <w:rPr>
        <w:rStyle w:val="36"/>
      </w:rPr>
      <w:fldChar w:fldCharType="begin"/>
    </w:r>
    <w:r>
      <w:rPr>
        <w:rStyle w:val="36"/>
      </w:rPr>
      <w:instrText xml:space="preserve"> PAGE </w:instrText>
    </w:r>
    <w:r>
      <w:rPr>
        <w:rStyle w:val="36"/>
      </w:rPr>
      <w:fldChar w:fldCharType="separate"/>
    </w:r>
    <w:r>
      <w:rPr>
        <w:rStyle w:val="36"/>
      </w:rPr>
      <w:t>25</w:t>
    </w:r>
    <w:r>
      <w:rPr>
        <w:rStyle w:val="36"/>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C460F">
    <w:pPr>
      <w:pStyle w:val="22"/>
      <w:rPr>
        <w:sz w:val="21"/>
        <w:szCs w:val="21"/>
      </w:rPr>
    </w:pPr>
    <w:r>
      <w:rPr>
        <w:rFonts w:hint="eastAsia" w:ascii="黑体" w:eastAsia="黑体"/>
        <w:sz w:val="21"/>
        <w:szCs w:val="21"/>
      </w:rPr>
      <w:t>JJG 842</w:t>
    </w:r>
    <w:r>
      <w:rPr>
        <w:rFonts w:hint="eastAsia" w:ascii="黑体" w:eastAsia="黑体"/>
        <w:sz w:val="21"/>
        <w:szCs w:val="21"/>
      </w:rPr>
      <w:sym w:font="Symbol" w:char="F0BE"/>
    </w:r>
    <w:r>
      <w:rPr>
        <w:rFonts w:hint="eastAsia" w:ascii="黑体" w:eastAsia="黑体"/>
        <w:sz w:val="21"/>
        <w:szCs w:val="21"/>
      </w:rPr>
      <w:t>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2DE03">
    <w:pPr>
      <w:pStyle w:val="22"/>
    </w:pPr>
    <w:r>
      <w:rPr>
        <w:rFonts w:hint="eastAsia" w:ascii="黑体" w:eastAsia="黑体"/>
        <w:sz w:val="21"/>
        <w:szCs w:val="21"/>
      </w:rPr>
      <w:t>JJG 842</w:t>
    </w:r>
    <w:r>
      <w:rPr>
        <w:rFonts w:hint="eastAsia" w:ascii="黑体" w:eastAsia="黑体"/>
        <w:sz w:val="21"/>
        <w:szCs w:val="21"/>
      </w:rPr>
      <w:sym w:font="Symbol" w:char="F0BE"/>
    </w:r>
    <w:r>
      <w:rPr>
        <w:rFonts w:hint="eastAsia" w:ascii="黑体" w:eastAsia="黑体"/>
        <w:sz w:val="21"/>
        <w:szCs w:val="21"/>
      </w:rPr>
      <w:t>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211EF">
    <w:pPr>
      <w:pStyle w:val="22"/>
      <w:pBdr>
        <w:bottom w:val="none" w:color="auto" w:sz="0" w:space="0"/>
      </w:pBdr>
      <w:wordWrap w:val="0"/>
      <w:ind w:right="1263"/>
      <w:jc w:val="right"/>
      <w:rPr>
        <w:b/>
        <w:sz w:val="84"/>
        <w:szCs w:val="84"/>
      </w:rPr>
    </w:pPr>
    <w:r>
      <w:rPr>
        <w:b/>
        <w:sz w:val="84"/>
        <w:szCs w:val="84"/>
      </w:rPr>
      <w:t xml:space="preserve">JJG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4A2871"/>
    <w:multiLevelType w:val="multilevel"/>
    <w:tmpl w:val="054A2871"/>
    <w:lvl w:ilvl="0" w:tentative="0">
      <w:start w:val="1"/>
      <w:numFmt w:val="decimal"/>
      <w:pStyle w:val="45"/>
      <w:lvlText w:val="A%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7ED3FEA"/>
    <w:multiLevelType w:val="multilevel"/>
    <w:tmpl w:val="07ED3FEA"/>
    <w:lvl w:ilvl="0" w:tentative="0">
      <w:start w:val="1"/>
      <w:numFmt w:val="none"/>
      <w:pStyle w:val="82"/>
      <w:lvlText w:val="%1"/>
      <w:lvlJc w:val="left"/>
      <w:pPr>
        <w:ind w:left="425" w:hanging="425"/>
      </w:pPr>
      <w:rPr>
        <w:rFonts w:hint="eastAsia"/>
      </w:rPr>
    </w:lvl>
    <w:lvl w:ilvl="1" w:tentative="0">
      <w:start w:val="1"/>
      <w:numFmt w:val="decimal"/>
      <w:pStyle w:val="83"/>
      <w:suff w:val="nothing"/>
      <w:lvlText w:val="%10.%2 "/>
      <w:lvlJc w:val="left"/>
      <w:pPr>
        <w:ind w:left="0" w:firstLine="0"/>
      </w:pPr>
      <w:rPr>
        <w:rFonts w:hint="eastAsia" w:ascii="黑体" w:hAnsi="等线" w:eastAsia="黑体"/>
        <w:b w:val="0"/>
        <w:i w:val="0"/>
        <w:sz w:val="21"/>
      </w:rPr>
    </w:lvl>
    <w:lvl w:ilvl="2" w:tentative="0">
      <w:start w:val="1"/>
      <w:numFmt w:val="decimal"/>
      <w:pStyle w:val="84"/>
      <w:suff w:val="nothing"/>
      <w:lvlText w:val="%10.%2.%3 "/>
      <w:lvlJc w:val="left"/>
      <w:pPr>
        <w:ind w:left="0" w:firstLine="0"/>
      </w:pPr>
      <w:rPr>
        <w:rFonts w:hint="eastAsia" w:ascii="黑体" w:hAnsi="等线" w:eastAsia="黑体"/>
        <w:b w:val="0"/>
        <w:i w:val="0"/>
        <w:sz w:val="21"/>
      </w:rPr>
    </w:lvl>
    <w:lvl w:ilvl="3" w:tentative="0">
      <w:start w:val="1"/>
      <w:numFmt w:val="decimal"/>
      <w:pStyle w:val="85"/>
      <w:suff w:val="nothing"/>
      <w:lvlText w:val="%10.%2.%3.%4 "/>
      <w:lvlJc w:val="left"/>
      <w:pPr>
        <w:ind w:left="0" w:firstLine="0"/>
      </w:pPr>
      <w:rPr>
        <w:rFonts w:hint="eastAsia" w:ascii="黑体" w:hAnsi="等线" w:eastAsia="黑体"/>
        <w:b w:val="0"/>
        <w:i w:val="0"/>
        <w:sz w:val="21"/>
      </w:rPr>
    </w:lvl>
    <w:lvl w:ilvl="4" w:tentative="0">
      <w:start w:val="1"/>
      <w:numFmt w:val="decimal"/>
      <w:pStyle w:val="86"/>
      <w:suff w:val="nothing"/>
      <w:lvlText w:val="%10.%2.%3.%4.%5 "/>
      <w:lvlJc w:val="left"/>
      <w:pPr>
        <w:ind w:left="0" w:firstLine="0"/>
      </w:pPr>
      <w:rPr>
        <w:rFonts w:hint="eastAsia" w:ascii="黑体" w:hAnsi="等线" w:eastAsia="黑体"/>
        <w:b w:val="0"/>
        <w:i w:val="0"/>
        <w:sz w:val="21"/>
      </w:rPr>
    </w:lvl>
    <w:lvl w:ilvl="5" w:tentative="0">
      <w:start w:val="1"/>
      <w:numFmt w:val="decimal"/>
      <w:pStyle w:val="87"/>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1F177F51"/>
    <w:multiLevelType w:val="multilevel"/>
    <w:tmpl w:val="1F177F51"/>
    <w:lvl w:ilvl="0" w:tentative="0">
      <w:start w:val="1"/>
      <w:numFmt w:val="decimal"/>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27FF2E01"/>
    <w:multiLevelType w:val="multilevel"/>
    <w:tmpl w:val="27FF2E01"/>
    <w:lvl w:ilvl="0" w:tentative="0">
      <w:start w:val="1"/>
      <w:numFmt w:val="decimal"/>
      <w:lvlText w:val="%1"/>
      <w:lvlJc w:val="left"/>
      <w:pPr>
        <w:tabs>
          <w:tab w:val="left" w:pos="425"/>
        </w:tabs>
        <w:ind w:left="425" w:hanging="425"/>
      </w:pPr>
      <w:rPr>
        <w:rFonts w:hint="eastAsia" w:ascii="宋体" w:hAnsi="宋体" w:eastAsia="宋体"/>
        <w:b w:val="0"/>
        <w:i w:val="0"/>
        <w:sz w:val="24"/>
        <w:szCs w:val="24"/>
      </w:rPr>
    </w:lvl>
    <w:lvl w:ilvl="1" w:tentative="0">
      <w:start w:val="1"/>
      <w:numFmt w:val="decimal"/>
      <w:lvlText w:val="%1.%2"/>
      <w:lvlJc w:val="left"/>
      <w:pPr>
        <w:tabs>
          <w:tab w:val="left" w:pos="567"/>
        </w:tabs>
        <w:ind w:left="567" w:hanging="567"/>
      </w:pPr>
    </w:lvl>
    <w:lvl w:ilvl="2" w:tentative="0">
      <w:start w:val="1"/>
      <w:numFmt w:val="decimal"/>
      <w:pStyle w:val="43"/>
      <w:lvlText w:val="%1.%2.%3"/>
      <w:lvlJc w:val="left"/>
      <w:pPr>
        <w:tabs>
          <w:tab w:val="left" w:pos="709"/>
        </w:tabs>
        <w:ind w:left="709" w:hanging="709"/>
      </w:pPr>
      <w:rPr>
        <w:rFonts w:hint="eastAsia" w:ascii="宋体" w:hAnsi="宋体" w:eastAsia="宋体" w:cs="Times New Roman"/>
        <w:b w:val="0"/>
        <w:bCs w:val="0"/>
        <w:i w:val="0"/>
        <w:iCs w:val="0"/>
        <w:caps w:val="0"/>
        <w:smallCaps w:val="0"/>
        <w:strike w:val="0"/>
        <w:dstrike w:val="0"/>
        <w:vanish w:val="0"/>
        <w:color w:val="auto"/>
        <w:spacing w:val="0"/>
        <w:position w:val="0"/>
        <w:sz w:val="24"/>
        <w:szCs w:val="24"/>
        <w:u w:val="none"/>
        <w:vertAlign w:val="baseline"/>
        <w14:shadow w14:blurRad="0" w14:dist="0" w14:dir="0" w14:sx="0" w14:sy="0" w14:kx="0" w14:ky="0" w14:algn="none">
          <w14:srgbClr w14:val="000000"/>
        </w14:shadow>
      </w:rPr>
    </w:lvl>
    <w:lvl w:ilvl="3" w:tentative="0">
      <w:start w:val="1"/>
      <w:numFmt w:val="decimal"/>
      <w:pStyle w:val="5"/>
      <w:lvlText w:val="%1.%2.%3.%4"/>
      <w:lvlJc w:val="left"/>
      <w:pPr>
        <w:tabs>
          <w:tab w:val="left" w:pos="851"/>
        </w:tabs>
        <w:ind w:left="851" w:hanging="851"/>
      </w:p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2A541DFF"/>
    <w:multiLevelType w:val="multilevel"/>
    <w:tmpl w:val="2A541DFF"/>
    <w:lvl w:ilvl="0" w:tentative="0">
      <w:start w:val="1"/>
      <w:numFmt w:val="decimal"/>
      <w:lvlText w:val="%1."/>
      <w:lvlJc w:val="left"/>
      <w:pPr>
        <w:ind w:left="284" w:hanging="284"/>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2E2F7BAA"/>
    <w:multiLevelType w:val="multilevel"/>
    <w:tmpl w:val="2E2F7BAA"/>
    <w:lvl w:ilvl="0" w:tentative="0">
      <w:start w:val="1"/>
      <w:numFmt w:val="decimal"/>
      <w:lvlText w:val="%1."/>
      <w:lvlJc w:val="left"/>
      <w:pPr>
        <w:ind w:left="284" w:hanging="284"/>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32F04FB2"/>
    <w:multiLevelType w:val="multilevel"/>
    <w:tmpl w:val="32F04FB2"/>
    <w:lvl w:ilvl="0" w:tentative="0">
      <w:start w:val="1"/>
      <w:numFmt w:val="lowerLetter"/>
      <w:pStyle w:val="90"/>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7">
    <w:nsid w:val="445C3094"/>
    <w:multiLevelType w:val="multilevel"/>
    <w:tmpl w:val="445C3094"/>
    <w:lvl w:ilvl="0" w:tentative="0">
      <w:start w:val="1"/>
      <w:numFmt w:val="decimal"/>
      <w:lvlText w:val="%1."/>
      <w:lvlJc w:val="left"/>
      <w:pPr>
        <w:ind w:left="284" w:hanging="284"/>
      </w:pPr>
      <w:rPr>
        <w:rFonts w:hint="eastAsia"/>
      </w:rPr>
    </w:lvl>
    <w:lvl w:ilvl="1" w:tentative="0">
      <w:start w:val="1"/>
      <w:numFmt w:val="lowerLetter"/>
      <w:lvlText w:val="%2)"/>
      <w:lvlJc w:val="left"/>
      <w:pPr>
        <w:ind w:left="880" w:hanging="440"/>
      </w:pPr>
      <w:rPr>
        <w:rFonts w:hint="eastAsia"/>
      </w:rPr>
    </w:lvl>
    <w:lvl w:ilvl="2" w:tentative="0">
      <w:start w:val="1"/>
      <w:numFmt w:val="lowerRoman"/>
      <w:lvlText w:val="%3."/>
      <w:lvlJc w:val="right"/>
      <w:pPr>
        <w:ind w:left="1320" w:hanging="440"/>
      </w:pPr>
      <w:rPr>
        <w:rFonts w:hint="eastAsia"/>
      </w:rPr>
    </w:lvl>
    <w:lvl w:ilvl="3" w:tentative="0">
      <w:start w:val="1"/>
      <w:numFmt w:val="decimal"/>
      <w:lvlText w:val="%4."/>
      <w:lvlJc w:val="left"/>
      <w:pPr>
        <w:ind w:left="1760" w:hanging="440"/>
      </w:pPr>
      <w:rPr>
        <w:rFonts w:hint="eastAsia"/>
      </w:rPr>
    </w:lvl>
    <w:lvl w:ilvl="4" w:tentative="0">
      <w:start w:val="1"/>
      <w:numFmt w:val="lowerLetter"/>
      <w:lvlText w:val="%5)"/>
      <w:lvlJc w:val="left"/>
      <w:pPr>
        <w:ind w:left="2200" w:hanging="440"/>
      </w:pPr>
      <w:rPr>
        <w:rFonts w:hint="eastAsia"/>
      </w:rPr>
    </w:lvl>
    <w:lvl w:ilvl="5" w:tentative="0">
      <w:start w:val="1"/>
      <w:numFmt w:val="lowerRoman"/>
      <w:lvlText w:val="%6."/>
      <w:lvlJc w:val="right"/>
      <w:pPr>
        <w:ind w:left="2640" w:hanging="440"/>
      </w:pPr>
      <w:rPr>
        <w:rFonts w:hint="eastAsia"/>
      </w:rPr>
    </w:lvl>
    <w:lvl w:ilvl="6" w:tentative="0">
      <w:start w:val="1"/>
      <w:numFmt w:val="decimal"/>
      <w:lvlText w:val="%7."/>
      <w:lvlJc w:val="left"/>
      <w:pPr>
        <w:ind w:left="3080" w:hanging="440"/>
      </w:pPr>
      <w:rPr>
        <w:rFonts w:hint="eastAsia"/>
      </w:rPr>
    </w:lvl>
    <w:lvl w:ilvl="7" w:tentative="0">
      <w:start w:val="1"/>
      <w:numFmt w:val="lowerLetter"/>
      <w:lvlText w:val="%8)"/>
      <w:lvlJc w:val="left"/>
      <w:pPr>
        <w:ind w:left="3520" w:hanging="440"/>
      </w:pPr>
      <w:rPr>
        <w:rFonts w:hint="eastAsia"/>
      </w:rPr>
    </w:lvl>
    <w:lvl w:ilvl="8" w:tentative="0">
      <w:start w:val="1"/>
      <w:numFmt w:val="lowerRoman"/>
      <w:lvlText w:val="%9."/>
      <w:lvlJc w:val="right"/>
      <w:pPr>
        <w:ind w:left="3960" w:hanging="440"/>
      </w:pPr>
      <w:rPr>
        <w:rFonts w:hint="eastAsia"/>
      </w:rPr>
    </w:lvl>
  </w:abstractNum>
  <w:abstractNum w:abstractNumId="8">
    <w:nsid w:val="44C50F90"/>
    <w:multiLevelType w:val="multilevel"/>
    <w:tmpl w:val="44C50F90"/>
    <w:lvl w:ilvl="0" w:tentative="0">
      <w:start w:val="1"/>
      <w:numFmt w:val="lowerLetter"/>
      <w:pStyle w:val="93"/>
      <w:lvlText w:val="%1)"/>
      <w:lvlJc w:val="left"/>
      <w:pPr>
        <w:tabs>
          <w:tab w:val="left" w:pos="851"/>
        </w:tabs>
        <w:ind w:left="851" w:hanging="426"/>
      </w:pPr>
      <w:rPr>
        <w:rFonts w:hint="eastAsia" w:ascii="宋体" w:hAnsi="Times New Roman" w:eastAsia="宋体"/>
        <w:sz w:val="21"/>
      </w:rPr>
    </w:lvl>
    <w:lvl w:ilvl="1" w:tentative="0">
      <w:start w:val="1"/>
      <w:numFmt w:val="decimal"/>
      <w:pStyle w:val="91"/>
      <w:lvlText w:val="%2)"/>
      <w:lvlJc w:val="left"/>
      <w:pPr>
        <w:tabs>
          <w:tab w:val="left" w:pos="1276"/>
        </w:tabs>
        <w:ind w:left="1276" w:hanging="425"/>
      </w:pPr>
      <w:rPr>
        <w:rFonts w:hint="eastAsia" w:ascii="宋体" w:hAnsi="Times New Roman" w:eastAsia="宋体"/>
        <w:sz w:val="21"/>
      </w:rPr>
    </w:lvl>
    <w:lvl w:ilvl="2" w:tentative="0">
      <w:start w:val="1"/>
      <w:numFmt w:val="decimal"/>
      <w:pStyle w:val="9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517D7914"/>
    <w:multiLevelType w:val="multilevel"/>
    <w:tmpl w:val="517D7914"/>
    <w:lvl w:ilvl="0" w:tentative="0">
      <w:start w:val="7"/>
      <w:numFmt w:val="decimal"/>
      <w:lvlText w:val="%1."/>
      <w:lvlJc w:val="left"/>
      <w:pPr>
        <w:ind w:left="284" w:hanging="284"/>
      </w:pPr>
      <w:rPr>
        <w:rFonts w:hint="eastAsia"/>
      </w:rPr>
    </w:lvl>
    <w:lvl w:ilvl="1" w:tentative="0">
      <w:start w:val="1"/>
      <w:numFmt w:val="lowerLetter"/>
      <w:lvlText w:val="%2)"/>
      <w:lvlJc w:val="left"/>
      <w:pPr>
        <w:ind w:left="880" w:hanging="440"/>
      </w:pPr>
      <w:rPr>
        <w:rFonts w:hint="eastAsia"/>
      </w:rPr>
    </w:lvl>
    <w:lvl w:ilvl="2" w:tentative="0">
      <w:start w:val="1"/>
      <w:numFmt w:val="lowerRoman"/>
      <w:lvlText w:val="%3."/>
      <w:lvlJc w:val="right"/>
      <w:pPr>
        <w:ind w:left="1320" w:hanging="440"/>
      </w:pPr>
      <w:rPr>
        <w:rFonts w:hint="eastAsia"/>
      </w:rPr>
    </w:lvl>
    <w:lvl w:ilvl="3" w:tentative="0">
      <w:start w:val="1"/>
      <w:numFmt w:val="decimal"/>
      <w:lvlText w:val="%4."/>
      <w:lvlJc w:val="left"/>
      <w:pPr>
        <w:ind w:left="1760" w:hanging="440"/>
      </w:pPr>
      <w:rPr>
        <w:rFonts w:hint="eastAsia"/>
      </w:rPr>
    </w:lvl>
    <w:lvl w:ilvl="4" w:tentative="0">
      <w:start w:val="1"/>
      <w:numFmt w:val="lowerLetter"/>
      <w:lvlText w:val="%5)"/>
      <w:lvlJc w:val="left"/>
      <w:pPr>
        <w:ind w:left="2200" w:hanging="440"/>
      </w:pPr>
      <w:rPr>
        <w:rFonts w:hint="eastAsia"/>
      </w:rPr>
    </w:lvl>
    <w:lvl w:ilvl="5" w:tentative="0">
      <w:start w:val="1"/>
      <w:numFmt w:val="lowerRoman"/>
      <w:lvlText w:val="%6."/>
      <w:lvlJc w:val="right"/>
      <w:pPr>
        <w:ind w:left="2640" w:hanging="440"/>
      </w:pPr>
      <w:rPr>
        <w:rFonts w:hint="eastAsia"/>
      </w:rPr>
    </w:lvl>
    <w:lvl w:ilvl="6" w:tentative="0">
      <w:start w:val="1"/>
      <w:numFmt w:val="decimal"/>
      <w:lvlText w:val="%7."/>
      <w:lvlJc w:val="left"/>
      <w:pPr>
        <w:ind w:left="3080" w:hanging="440"/>
      </w:pPr>
      <w:rPr>
        <w:rFonts w:hint="eastAsia"/>
      </w:rPr>
    </w:lvl>
    <w:lvl w:ilvl="7" w:tentative="0">
      <w:start w:val="1"/>
      <w:numFmt w:val="lowerLetter"/>
      <w:lvlText w:val="%8)"/>
      <w:lvlJc w:val="left"/>
      <w:pPr>
        <w:ind w:left="3520" w:hanging="440"/>
      </w:pPr>
      <w:rPr>
        <w:rFonts w:hint="eastAsia"/>
      </w:rPr>
    </w:lvl>
    <w:lvl w:ilvl="8" w:tentative="0">
      <w:start w:val="1"/>
      <w:numFmt w:val="lowerRoman"/>
      <w:lvlText w:val="%9."/>
      <w:lvlJc w:val="right"/>
      <w:pPr>
        <w:ind w:left="3960" w:hanging="440"/>
      </w:pPr>
      <w:rPr>
        <w:rFonts w:hint="eastAsia"/>
      </w:rPr>
    </w:lvl>
  </w:abstractNum>
  <w:abstractNum w:abstractNumId="10">
    <w:nsid w:val="646260FA"/>
    <w:multiLevelType w:val="multilevel"/>
    <w:tmpl w:val="646260FA"/>
    <w:lvl w:ilvl="0" w:tentative="0">
      <w:start w:val="1"/>
      <w:numFmt w:val="decimal"/>
      <w:pStyle w:val="5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69024B8D"/>
    <w:multiLevelType w:val="multilevel"/>
    <w:tmpl w:val="69024B8D"/>
    <w:lvl w:ilvl="0" w:tentative="0">
      <w:start w:val="1"/>
      <w:numFmt w:val="decimal"/>
      <w:pStyle w:val="46"/>
      <w:lvlText w:val="A1.%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6CEA2025"/>
    <w:multiLevelType w:val="multilevel"/>
    <w:tmpl w:val="6CEA2025"/>
    <w:lvl w:ilvl="0" w:tentative="0">
      <w:start w:val="1"/>
      <w:numFmt w:val="none"/>
      <w:pStyle w:val="65"/>
      <w:suff w:val="nothing"/>
      <w:lvlText w:val="%1"/>
      <w:lvlJc w:val="left"/>
      <w:pPr>
        <w:ind w:left="0" w:firstLine="0"/>
      </w:pPr>
      <w:rPr>
        <w:rFonts w:hint="default" w:ascii="Times New Roman" w:hAnsi="Times New Roman"/>
        <w:b/>
        <w:i w:val="0"/>
        <w:sz w:val="21"/>
      </w:rPr>
    </w:lvl>
    <w:lvl w:ilvl="1" w:tentative="0">
      <w:start w:val="1"/>
      <w:numFmt w:val="decimal"/>
      <w:pStyle w:val="66"/>
      <w:suff w:val="nothing"/>
      <w:lvlText w:val="%1%2　"/>
      <w:lvlJc w:val="left"/>
      <w:pPr>
        <w:ind w:left="0" w:firstLine="0"/>
      </w:pPr>
      <w:rPr>
        <w:rFonts w:hint="eastAsia" w:ascii="黑体"/>
        <w:b w:val="0"/>
        <w:i w:val="0"/>
        <w:sz w:val="21"/>
      </w:rPr>
    </w:lvl>
    <w:lvl w:ilvl="2" w:tentative="0">
      <w:start w:val="1"/>
      <w:numFmt w:val="decimal"/>
      <w:pStyle w:val="67"/>
      <w:suff w:val="nothing"/>
      <w:lvlText w:val="%1%2.%3　"/>
      <w:lvlJc w:val="left"/>
      <w:pPr>
        <w:ind w:left="0" w:firstLine="0"/>
      </w:pPr>
      <w:rPr>
        <w:rFonts w:hint="eastAsia" w:ascii="黑体" w:hAnsi="Times New Roman" w:eastAsia="黑体"/>
        <w:b w:val="0"/>
        <w:i w:val="0"/>
        <w:sz w:val="21"/>
      </w:rPr>
    </w:lvl>
    <w:lvl w:ilvl="3" w:tentative="0">
      <w:start w:val="1"/>
      <w:numFmt w:val="decimal"/>
      <w:pStyle w:val="68"/>
      <w:suff w:val="nothing"/>
      <w:lvlText w:val="%1%2.%3.%4　"/>
      <w:lvlJc w:val="left"/>
      <w:pPr>
        <w:ind w:left="0" w:firstLine="0"/>
      </w:pPr>
      <w:rPr>
        <w:rFonts w:hint="eastAsia" w:ascii="黑体" w:hAnsi="Times New Roman" w:eastAsia="黑体"/>
        <w:b w:val="0"/>
        <w:i w:val="0"/>
        <w:sz w:val="21"/>
      </w:rPr>
    </w:lvl>
    <w:lvl w:ilvl="4" w:tentative="0">
      <w:start w:val="1"/>
      <w:numFmt w:val="decimal"/>
      <w:pStyle w:val="69"/>
      <w:suff w:val="nothing"/>
      <w:lvlText w:val="%1%2.%3.%4.%5　"/>
      <w:lvlJc w:val="left"/>
      <w:pPr>
        <w:ind w:left="426" w:firstLine="0"/>
      </w:pPr>
      <w:rPr>
        <w:rFonts w:hint="eastAsia" w:ascii="黑体" w:hAnsi="Times New Roman" w:eastAsia="黑体"/>
        <w:b w:val="0"/>
        <w:i w:val="0"/>
        <w:sz w:val="21"/>
      </w:rPr>
    </w:lvl>
    <w:lvl w:ilvl="5" w:tentative="0">
      <w:start w:val="1"/>
      <w:numFmt w:val="decimal"/>
      <w:pStyle w:val="70"/>
      <w:suff w:val="nothing"/>
      <w:lvlText w:val="%1%2.%3.%4.%5.%6　"/>
      <w:lvlJc w:val="left"/>
      <w:pPr>
        <w:ind w:left="0" w:firstLine="0"/>
      </w:pPr>
      <w:rPr>
        <w:rFonts w:hint="eastAsia" w:ascii="黑体" w:hAnsi="Times New Roman" w:eastAsia="黑体"/>
        <w:b w:val="0"/>
        <w:i w:val="0"/>
        <w:sz w:val="21"/>
      </w:rPr>
    </w:lvl>
    <w:lvl w:ilvl="6" w:tentative="0">
      <w:start w:val="1"/>
      <w:numFmt w:val="decimal"/>
      <w:pStyle w:val="7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DBF04F4"/>
    <w:multiLevelType w:val="multilevel"/>
    <w:tmpl w:val="6DBF04F4"/>
    <w:lvl w:ilvl="0" w:tentative="0">
      <w:start w:val="1"/>
      <w:numFmt w:val="none"/>
      <w:pStyle w:val="77"/>
      <w:lvlText w:val="%1注："/>
      <w:lvlJc w:val="left"/>
      <w:pPr>
        <w:ind w:left="942"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3"/>
  </w:num>
  <w:num w:numId="2">
    <w:abstractNumId w:val="0"/>
  </w:num>
  <w:num w:numId="3">
    <w:abstractNumId w:val="11"/>
  </w:num>
  <w:num w:numId="4">
    <w:abstractNumId w:val="10"/>
  </w:num>
  <w:num w:numId="5">
    <w:abstractNumId w:val="12"/>
  </w:num>
  <w:num w:numId="6">
    <w:abstractNumId w:val="13"/>
  </w:num>
  <w:num w:numId="7">
    <w:abstractNumId w:val="1"/>
  </w:num>
  <w:num w:numId="8">
    <w:abstractNumId w:val="6"/>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4"/>
  </w:num>
  <w:num w:numId="13">
    <w:abstractNumId w:val="5"/>
  </w:num>
  <w:num w:numId="14">
    <w:abstractNumId w:val="7"/>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7DC"/>
    <w:rsid w:val="00001932"/>
    <w:rsid w:val="00001D02"/>
    <w:rsid w:val="00001D29"/>
    <w:rsid w:val="0000286B"/>
    <w:rsid w:val="00002941"/>
    <w:rsid w:val="00005D9D"/>
    <w:rsid w:val="000075A4"/>
    <w:rsid w:val="0001091D"/>
    <w:rsid w:val="0001172D"/>
    <w:rsid w:val="0001344E"/>
    <w:rsid w:val="000140A6"/>
    <w:rsid w:val="00014DDE"/>
    <w:rsid w:val="00014FE4"/>
    <w:rsid w:val="00015341"/>
    <w:rsid w:val="000154A4"/>
    <w:rsid w:val="00015620"/>
    <w:rsid w:val="000168A1"/>
    <w:rsid w:val="000168F2"/>
    <w:rsid w:val="00016B52"/>
    <w:rsid w:val="00016F13"/>
    <w:rsid w:val="000177F8"/>
    <w:rsid w:val="00017956"/>
    <w:rsid w:val="0002238D"/>
    <w:rsid w:val="00022C00"/>
    <w:rsid w:val="00022F78"/>
    <w:rsid w:val="000233D9"/>
    <w:rsid w:val="00023504"/>
    <w:rsid w:val="00024195"/>
    <w:rsid w:val="0002424B"/>
    <w:rsid w:val="00024667"/>
    <w:rsid w:val="00024AF0"/>
    <w:rsid w:val="00025F5C"/>
    <w:rsid w:val="00026381"/>
    <w:rsid w:val="000265AE"/>
    <w:rsid w:val="00026624"/>
    <w:rsid w:val="0002685D"/>
    <w:rsid w:val="00030F89"/>
    <w:rsid w:val="00031099"/>
    <w:rsid w:val="00031553"/>
    <w:rsid w:val="000317A6"/>
    <w:rsid w:val="0003256A"/>
    <w:rsid w:val="0003276B"/>
    <w:rsid w:val="00032D5F"/>
    <w:rsid w:val="00033F3A"/>
    <w:rsid w:val="0003443F"/>
    <w:rsid w:val="00036322"/>
    <w:rsid w:val="000366B7"/>
    <w:rsid w:val="00036D78"/>
    <w:rsid w:val="00037659"/>
    <w:rsid w:val="000378E9"/>
    <w:rsid w:val="00037B78"/>
    <w:rsid w:val="00040099"/>
    <w:rsid w:val="00040678"/>
    <w:rsid w:val="00040AC9"/>
    <w:rsid w:val="0004134E"/>
    <w:rsid w:val="00042C82"/>
    <w:rsid w:val="0004375F"/>
    <w:rsid w:val="00044083"/>
    <w:rsid w:val="00045507"/>
    <w:rsid w:val="00045CC8"/>
    <w:rsid w:val="00046012"/>
    <w:rsid w:val="00046143"/>
    <w:rsid w:val="00046E57"/>
    <w:rsid w:val="00046FA6"/>
    <w:rsid w:val="00047C94"/>
    <w:rsid w:val="00047CA8"/>
    <w:rsid w:val="00050756"/>
    <w:rsid w:val="00051F73"/>
    <w:rsid w:val="00052491"/>
    <w:rsid w:val="000531C8"/>
    <w:rsid w:val="00053387"/>
    <w:rsid w:val="00053459"/>
    <w:rsid w:val="00053AD4"/>
    <w:rsid w:val="00055463"/>
    <w:rsid w:val="00055556"/>
    <w:rsid w:val="000579AD"/>
    <w:rsid w:val="00057F52"/>
    <w:rsid w:val="000607D2"/>
    <w:rsid w:val="00061FA3"/>
    <w:rsid w:val="00062F63"/>
    <w:rsid w:val="000634CE"/>
    <w:rsid w:val="00063DC3"/>
    <w:rsid w:val="00064A72"/>
    <w:rsid w:val="00065C2E"/>
    <w:rsid w:val="00065C2F"/>
    <w:rsid w:val="00066C59"/>
    <w:rsid w:val="00066EB0"/>
    <w:rsid w:val="00067D54"/>
    <w:rsid w:val="0007002F"/>
    <w:rsid w:val="00070B03"/>
    <w:rsid w:val="00072B73"/>
    <w:rsid w:val="00072C96"/>
    <w:rsid w:val="00072D48"/>
    <w:rsid w:val="00073359"/>
    <w:rsid w:val="0007353C"/>
    <w:rsid w:val="00074208"/>
    <w:rsid w:val="000747CF"/>
    <w:rsid w:val="00074AB8"/>
    <w:rsid w:val="00074FC4"/>
    <w:rsid w:val="00075848"/>
    <w:rsid w:val="000770C5"/>
    <w:rsid w:val="00077656"/>
    <w:rsid w:val="00080E6B"/>
    <w:rsid w:val="00080EC4"/>
    <w:rsid w:val="00081A89"/>
    <w:rsid w:val="0008215F"/>
    <w:rsid w:val="000822B4"/>
    <w:rsid w:val="00082432"/>
    <w:rsid w:val="00083670"/>
    <w:rsid w:val="00084794"/>
    <w:rsid w:val="000857C2"/>
    <w:rsid w:val="00085C95"/>
    <w:rsid w:val="00085F40"/>
    <w:rsid w:val="00086073"/>
    <w:rsid w:val="00087FB5"/>
    <w:rsid w:val="00091824"/>
    <w:rsid w:val="0009230B"/>
    <w:rsid w:val="0009237E"/>
    <w:rsid w:val="00093D7E"/>
    <w:rsid w:val="0009412D"/>
    <w:rsid w:val="00094162"/>
    <w:rsid w:val="0009459F"/>
    <w:rsid w:val="00095054"/>
    <w:rsid w:val="00095FED"/>
    <w:rsid w:val="0009664D"/>
    <w:rsid w:val="000967A2"/>
    <w:rsid w:val="000A0033"/>
    <w:rsid w:val="000A0317"/>
    <w:rsid w:val="000A0773"/>
    <w:rsid w:val="000A0815"/>
    <w:rsid w:val="000A0E7E"/>
    <w:rsid w:val="000A136E"/>
    <w:rsid w:val="000A2D98"/>
    <w:rsid w:val="000A3DFB"/>
    <w:rsid w:val="000A5AD2"/>
    <w:rsid w:val="000A5B1A"/>
    <w:rsid w:val="000A5EF2"/>
    <w:rsid w:val="000A6C2C"/>
    <w:rsid w:val="000B009F"/>
    <w:rsid w:val="000B0193"/>
    <w:rsid w:val="000B043F"/>
    <w:rsid w:val="000B062E"/>
    <w:rsid w:val="000B0A22"/>
    <w:rsid w:val="000B1087"/>
    <w:rsid w:val="000B1491"/>
    <w:rsid w:val="000B192D"/>
    <w:rsid w:val="000B1F86"/>
    <w:rsid w:val="000B29B7"/>
    <w:rsid w:val="000B2DF5"/>
    <w:rsid w:val="000B389C"/>
    <w:rsid w:val="000B5F96"/>
    <w:rsid w:val="000B6F92"/>
    <w:rsid w:val="000C0BA5"/>
    <w:rsid w:val="000C0BF1"/>
    <w:rsid w:val="000C0DFD"/>
    <w:rsid w:val="000C1305"/>
    <w:rsid w:val="000C147A"/>
    <w:rsid w:val="000C1654"/>
    <w:rsid w:val="000C1ACE"/>
    <w:rsid w:val="000C332D"/>
    <w:rsid w:val="000C3685"/>
    <w:rsid w:val="000C462B"/>
    <w:rsid w:val="000C5954"/>
    <w:rsid w:val="000C5DC3"/>
    <w:rsid w:val="000D1893"/>
    <w:rsid w:val="000D28E8"/>
    <w:rsid w:val="000D38E3"/>
    <w:rsid w:val="000D4904"/>
    <w:rsid w:val="000D4C4C"/>
    <w:rsid w:val="000D5A08"/>
    <w:rsid w:val="000D5D01"/>
    <w:rsid w:val="000D6989"/>
    <w:rsid w:val="000D6E33"/>
    <w:rsid w:val="000D7C2F"/>
    <w:rsid w:val="000E14B5"/>
    <w:rsid w:val="000E1913"/>
    <w:rsid w:val="000E1A4A"/>
    <w:rsid w:val="000E1BE4"/>
    <w:rsid w:val="000E1C71"/>
    <w:rsid w:val="000E2A96"/>
    <w:rsid w:val="000E42AE"/>
    <w:rsid w:val="000E45BE"/>
    <w:rsid w:val="000E53E7"/>
    <w:rsid w:val="000E6109"/>
    <w:rsid w:val="000E63CE"/>
    <w:rsid w:val="000E657B"/>
    <w:rsid w:val="000E6B57"/>
    <w:rsid w:val="000E6BA9"/>
    <w:rsid w:val="000E7528"/>
    <w:rsid w:val="000F000F"/>
    <w:rsid w:val="000F0556"/>
    <w:rsid w:val="000F1379"/>
    <w:rsid w:val="000F23E6"/>
    <w:rsid w:val="000F28A0"/>
    <w:rsid w:val="000F2911"/>
    <w:rsid w:val="000F3496"/>
    <w:rsid w:val="000F643E"/>
    <w:rsid w:val="000F69A0"/>
    <w:rsid w:val="000F74D6"/>
    <w:rsid w:val="000F786D"/>
    <w:rsid w:val="0010022C"/>
    <w:rsid w:val="001004AA"/>
    <w:rsid w:val="0010071B"/>
    <w:rsid w:val="001008A1"/>
    <w:rsid w:val="00100A06"/>
    <w:rsid w:val="00100AA1"/>
    <w:rsid w:val="00100B06"/>
    <w:rsid w:val="00100EC6"/>
    <w:rsid w:val="00101388"/>
    <w:rsid w:val="00102A5E"/>
    <w:rsid w:val="00102CBD"/>
    <w:rsid w:val="001031D3"/>
    <w:rsid w:val="00103225"/>
    <w:rsid w:val="001041B2"/>
    <w:rsid w:val="00104630"/>
    <w:rsid w:val="001047A4"/>
    <w:rsid w:val="00104D90"/>
    <w:rsid w:val="0011124D"/>
    <w:rsid w:val="001124DC"/>
    <w:rsid w:val="00112FDD"/>
    <w:rsid w:val="00114929"/>
    <w:rsid w:val="00114C60"/>
    <w:rsid w:val="0011502B"/>
    <w:rsid w:val="00115250"/>
    <w:rsid w:val="0011558D"/>
    <w:rsid w:val="00115CBA"/>
    <w:rsid w:val="00116A13"/>
    <w:rsid w:val="00117298"/>
    <w:rsid w:val="001205BB"/>
    <w:rsid w:val="00121815"/>
    <w:rsid w:val="00122728"/>
    <w:rsid w:val="00123423"/>
    <w:rsid w:val="00124201"/>
    <w:rsid w:val="0012424F"/>
    <w:rsid w:val="00126789"/>
    <w:rsid w:val="00127705"/>
    <w:rsid w:val="00130D4D"/>
    <w:rsid w:val="00132687"/>
    <w:rsid w:val="00132768"/>
    <w:rsid w:val="00133B5C"/>
    <w:rsid w:val="0013514E"/>
    <w:rsid w:val="00135D72"/>
    <w:rsid w:val="00136DF4"/>
    <w:rsid w:val="001372C6"/>
    <w:rsid w:val="001378A0"/>
    <w:rsid w:val="001378E7"/>
    <w:rsid w:val="00137DDB"/>
    <w:rsid w:val="001400E0"/>
    <w:rsid w:val="00140187"/>
    <w:rsid w:val="00141DF2"/>
    <w:rsid w:val="00142D2D"/>
    <w:rsid w:val="0014422E"/>
    <w:rsid w:val="001467FE"/>
    <w:rsid w:val="00146B3E"/>
    <w:rsid w:val="001477D5"/>
    <w:rsid w:val="00151069"/>
    <w:rsid w:val="00151119"/>
    <w:rsid w:val="0015138B"/>
    <w:rsid w:val="001514D1"/>
    <w:rsid w:val="00152813"/>
    <w:rsid w:val="00152E14"/>
    <w:rsid w:val="00152E87"/>
    <w:rsid w:val="00154D13"/>
    <w:rsid w:val="00157649"/>
    <w:rsid w:val="00161224"/>
    <w:rsid w:val="0016145A"/>
    <w:rsid w:val="00161CF0"/>
    <w:rsid w:val="00163C5A"/>
    <w:rsid w:val="001644A0"/>
    <w:rsid w:val="00164C13"/>
    <w:rsid w:val="00165666"/>
    <w:rsid w:val="00166510"/>
    <w:rsid w:val="00166863"/>
    <w:rsid w:val="00172278"/>
    <w:rsid w:val="00173051"/>
    <w:rsid w:val="00174539"/>
    <w:rsid w:val="00174875"/>
    <w:rsid w:val="00174CE5"/>
    <w:rsid w:val="00175CCD"/>
    <w:rsid w:val="00176A68"/>
    <w:rsid w:val="001774BC"/>
    <w:rsid w:val="0017751E"/>
    <w:rsid w:val="00180250"/>
    <w:rsid w:val="00180856"/>
    <w:rsid w:val="00180D9E"/>
    <w:rsid w:val="001817D4"/>
    <w:rsid w:val="00182FC3"/>
    <w:rsid w:val="00183047"/>
    <w:rsid w:val="0018337E"/>
    <w:rsid w:val="0018457E"/>
    <w:rsid w:val="00184827"/>
    <w:rsid w:val="00184829"/>
    <w:rsid w:val="00184BB3"/>
    <w:rsid w:val="001851C6"/>
    <w:rsid w:val="001865D5"/>
    <w:rsid w:val="00186D63"/>
    <w:rsid w:val="00186F40"/>
    <w:rsid w:val="0018776B"/>
    <w:rsid w:val="00187E72"/>
    <w:rsid w:val="00190815"/>
    <w:rsid w:val="00193929"/>
    <w:rsid w:val="0019408B"/>
    <w:rsid w:val="00194145"/>
    <w:rsid w:val="001960EB"/>
    <w:rsid w:val="00196605"/>
    <w:rsid w:val="00196BF2"/>
    <w:rsid w:val="001972F6"/>
    <w:rsid w:val="00197FB6"/>
    <w:rsid w:val="001A162E"/>
    <w:rsid w:val="001A19BF"/>
    <w:rsid w:val="001A3FF9"/>
    <w:rsid w:val="001A4954"/>
    <w:rsid w:val="001A4B2D"/>
    <w:rsid w:val="001A5F8A"/>
    <w:rsid w:val="001A5F9F"/>
    <w:rsid w:val="001A649B"/>
    <w:rsid w:val="001A6B28"/>
    <w:rsid w:val="001A6B71"/>
    <w:rsid w:val="001A7407"/>
    <w:rsid w:val="001A76E9"/>
    <w:rsid w:val="001A775E"/>
    <w:rsid w:val="001B01F3"/>
    <w:rsid w:val="001B0B41"/>
    <w:rsid w:val="001B13F5"/>
    <w:rsid w:val="001B2528"/>
    <w:rsid w:val="001B33F1"/>
    <w:rsid w:val="001B349C"/>
    <w:rsid w:val="001B379D"/>
    <w:rsid w:val="001B3AD3"/>
    <w:rsid w:val="001B3E39"/>
    <w:rsid w:val="001B587A"/>
    <w:rsid w:val="001B589E"/>
    <w:rsid w:val="001B6080"/>
    <w:rsid w:val="001B68B3"/>
    <w:rsid w:val="001B7107"/>
    <w:rsid w:val="001B7251"/>
    <w:rsid w:val="001B764A"/>
    <w:rsid w:val="001C1CC3"/>
    <w:rsid w:val="001C2246"/>
    <w:rsid w:val="001C2B0C"/>
    <w:rsid w:val="001C2E9F"/>
    <w:rsid w:val="001C345F"/>
    <w:rsid w:val="001C5FF5"/>
    <w:rsid w:val="001C7259"/>
    <w:rsid w:val="001C72E9"/>
    <w:rsid w:val="001C73E0"/>
    <w:rsid w:val="001D10EC"/>
    <w:rsid w:val="001D1DDF"/>
    <w:rsid w:val="001D1E49"/>
    <w:rsid w:val="001D25F1"/>
    <w:rsid w:val="001D38A8"/>
    <w:rsid w:val="001D4F59"/>
    <w:rsid w:val="001D75DE"/>
    <w:rsid w:val="001D7A38"/>
    <w:rsid w:val="001E1561"/>
    <w:rsid w:val="001E1AEA"/>
    <w:rsid w:val="001E367C"/>
    <w:rsid w:val="001E3FBA"/>
    <w:rsid w:val="001E42B4"/>
    <w:rsid w:val="001E455E"/>
    <w:rsid w:val="001E4900"/>
    <w:rsid w:val="001E5A3C"/>
    <w:rsid w:val="001E5B1A"/>
    <w:rsid w:val="001E6307"/>
    <w:rsid w:val="001E6393"/>
    <w:rsid w:val="001F098A"/>
    <w:rsid w:val="001F1CCF"/>
    <w:rsid w:val="001F2326"/>
    <w:rsid w:val="001F2407"/>
    <w:rsid w:val="001F3041"/>
    <w:rsid w:val="001F4478"/>
    <w:rsid w:val="001F5679"/>
    <w:rsid w:val="001F5C10"/>
    <w:rsid w:val="001F636F"/>
    <w:rsid w:val="001F75CE"/>
    <w:rsid w:val="00200B80"/>
    <w:rsid w:val="002010B6"/>
    <w:rsid w:val="002011ED"/>
    <w:rsid w:val="002021DD"/>
    <w:rsid w:val="00202255"/>
    <w:rsid w:val="002023A2"/>
    <w:rsid w:val="0020481A"/>
    <w:rsid w:val="002054D1"/>
    <w:rsid w:val="002054D2"/>
    <w:rsid w:val="0020556B"/>
    <w:rsid w:val="002065DB"/>
    <w:rsid w:val="0020715A"/>
    <w:rsid w:val="00207B44"/>
    <w:rsid w:val="002101C7"/>
    <w:rsid w:val="00210CEB"/>
    <w:rsid w:val="002117A8"/>
    <w:rsid w:val="00212145"/>
    <w:rsid w:val="00212CF7"/>
    <w:rsid w:val="0021370C"/>
    <w:rsid w:val="00214312"/>
    <w:rsid w:val="00214444"/>
    <w:rsid w:val="00214B1B"/>
    <w:rsid w:val="0021548E"/>
    <w:rsid w:val="00220105"/>
    <w:rsid w:val="00220154"/>
    <w:rsid w:val="00220EAC"/>
    <w:rsid w:val="00221E24"/>
    <w:rsid w:val="0022381B"/>
    <w:rsid w:val="00223AC9"/>
    <w:rsid w:val="002240C7"/>
    <w:rsid w:val="002240DE"/>
    <w:rsid w:val="0022410D"/>
    <w:rsid w:val="0022511E"/>
    <w:rsid w:val="0022525E"/>
    <w:rsid w:val="002252D2"/>
    <w:rsid w:val="00227656"/>
    <w:rsid w:val="00230149"/>
    <w:rsid w:val="002302A6"/>
    <w:rsid w:val="0023257C"/>
    <w:rsid w:val="00233CBF"/>
    <w:rsid w:val="00235F0F"/>
    <w:rsid w:val="0023669B"/>
    <w:rsid w:val="00236BA0"/>
    <w:rsid w:val="00237D71"/>
    <w:rsid w:val="00240515"/>
    <w:rsid w:val="002409DC"/>
    <w:rsid w:val="002416BB"/>
    <w:rsid w:val="002419A3"/>
    <w:rsid w:val="00241E5D"/>
    <w:rsid w:val="00242341"/>
    <w:rsid w:val="0024281A"/>
    <w:rsid w:val="00242DB6"/>
    <w:rsid w:val="00243BD0"/>
    <w:rsid w:val="00244093"/>
    <w:rsid w:val="0024459A"/>
    <w:rsid w:val="002460B8"/>
    <w:rsid w:val="0024749F"/>
    <w:rsid w:val="0025044E"/>
    <w:rsid w:val="00250525"/>
    <w:rsid w:val="0025237E"/>
    <w:rsid w:val="002528A7"/>
    <w:rsid w:val="00253500"/>
    <w:rsid w:val="00253E4F"/>
    <w:rsid w:val="00254401"/>
    <w:rsid w:val="002555EB"/>
    <w:rsid w:val="002559F6"/>
    <w:rsid w:val="00255E6B"/>
    <w:rsid w:val="00255F92"/>
    <w:rsid w:val="002564A7"/>
    <w:rsid w:val="002567EB"/>
    <w:rsid w:val="002572BD"/>
    <w:rsid w:val="00257A0F"/>
    <w:rsid w:val="00260D04"/>
    <w:rsid w:val="0026105E"/>
    <w:rsid w:val="00261523"/>
    <w:rsid w:val="00263AAD"/>
    <w:rsid w:val="002640F6"/>
    <w:rsid w:val="0026560C"/>
    <w:rsid w:val="00265815"/>
    <w:rsid w:val="002669D8"/>
    <w:rsid w:val="00266A08"/>
    <w:rsid w:val="00266E52"/>
    <w:rsid w:val="0026795E"/>
    <w:rsid w:val="00270714"/>
    <w:rsid w:val="00270B62"/>
    <w:rsid w:val="00271882"/>
    <w:rsid w:val="00275871"/>
    <w:rsid w:val="002758DE"/>
    <w:rsid w:val="00275938"/>
    <w:rsid w:val="00277010"/>
    <w:rsid w:val="00277854"/>
    <w:rsid w:val="0028119D"/>
    <w:rsid w:val="0028222C"/>
    <w:rsid w:val="002830BE"/>
    <w:rsid w:val="00283423"/>
    <w:rsid w:val="00283F35"/>
    <w:rsid w:val="002848CD"/>
    <w:rsid w:val="00286A92"/>
    <w:rsid w:val="00286F39"/>
    <w:rsid w:val="0028768B"/>
    <w:rsid w:val="00287714"/>
    <w:rsid w:val="002908E4"/>
    <w:rsid w:val="00290A81"/>
    <w:rsid w:val="00291089"/>
    <w:rsid w:val="00293ACB"/>
    <w:rsid w:val="00294C3C"/>
    <w:rsid w:val="00295CF2"/>
    <w:rsid w:val="00296BAE"/>
    <w:rsid w:val="00297E2B"/>
    <w:rsid w:val="002A135F"/>
    <w:rsid w:val="002A2694"/>
    <w:rsid w:val="002A2D29"/>
    <w:rsid w:val="002A309C"/>
    <w:rsid w:val="002A41B1"/>
    <w:rsid w:val="002A4475"/>
    <w:rsid w:val="002A4B50"/>
    <w:rsid w:val="002A5D42"/>
    <w:rsid w:val="002A7DE4"/>
    <w:rsid w:val="002B0D46"/>
    <w:rsid w:val="002B1361"/>
    <w:rsid w:val="002B1822"/>
    <w:rsid w:val="002B191F"/>
    <w:rsid w:val="002B1FC9"/>
    <w:rsid w:val="002B3229"/>
    <w:rsid w:val="002B324F"/>
    <w:rsid w:val="002B3E01"/>
    <w:rsid w:val="002B4303"/>
    <w:rsid w:val="002B43F1"/>
    <w:rsid w:val="002B69B0"/>
    <w:rsid w:val="002B6BE7"/>
    <w:rsid w:val="002B757B"/>
    <w:rsid w:val="002B7D92"/>
    <w:rsid w:val="002B7E43"/>
    <w:rsid w:val="002C0A31"/>
    <w:rsid w:val="002C131A"/>
    <w:rsid w:val="002C2850"/>
    <w:rsid w:val="002C298F"/>
    <w:rsid w:val="002C2D2D"/>
    <w:rsid w:val="002C33FC"/>
    <w:rsid w:val="002C44E0"/>
    <w:rsid w:val="002C4A90"/>
    <w:rsid w:val="002C60EF"/>
    <w:rsid w:val="002C6C7B"/>
    <w:rsid w:val="002C73B2"/>
    <w:rsid w:val="002C740E"/>
    <w:rsid w:val="002C7A06"/>
    <w:rsid w:val="002D0D48"/>
    <w:rsid w:val="002D11A7"/>
    <w:rsid w:val="002D1508"/>
    <w:rsid w:val="002D1CF0"/>
    <w:rsid w:val="002D1D86"/>
    <w:rsid w:val="002D3E8B"/>
    <w:rsid w:val="002D42FE"/>
    <w:rsid w:val="002D45F4"/>
    <w:rsid w:val="002D48B9"/>
    <w:rsid w:val="002D51E6"/>
    <w:rsid w:val="002D6517"/>
    <w:rsid w:val="002D6D54"/>
    <w:rsid w:val="002D6EC7"/>
    <w:rsid w:val="002D7182"/>
    <w:rsid w:val="002D7466"/>
    <w:rsid w:val="002D7A27"/>
    <w:rsid w:val="002E047D"/>
    <w:rsid w:val="002E0503"/>
    <w:rsid w:val="002E1529"/>
    <w:rsid w:val="002E1B25"/>
    <w:rsid w:val="002E29ED"/>
    <w:rsid w:val="002E2BD9"/>
    <w:rsid w:val="002E5FBE"/>
    <w:rsid w:val="002E6E2C"/>
    <w:rsid w:val="002E7205"/>
    <w:rsid w:val="002F2566"/>
    <w:rsid w:val="002F2CEE"/>
    <w:rsid w:val="002F3426"/>
    <w:rsid w:val="002F3ED1"/>
    <w:rsid w:val="002F4C1E"/>
    <w:rsid w:val="002F5B58"/>
    <w:rsid w:val="002F5D49"/>
    <w:rsid w:val="002F79AC"/>
    <w:rsid w:val="003007B3"/>
    <w:rsid w:val="00300DCD"/>
    <w:rsid w:val="00301CD4"/>
    <w:rsid w:val="003022B0"/>
    <w:rsid w:val="00302FFE"/>
    <w:rsid w:val="003031AD"/>
    <w:rsid w:val="003034D9"/>
    <w:rsid w:val="003043AB"/>
    <w:rsid w:val="0030452F"/>
    <w:rsid w:val="00304CD8"/>
    <w:rsid w:val="00304D88"/>
    <w:rsid w:val="00305351"/>
    <w:rsid w:val="00306258"/>
    <w:rsid w:val="003068B5"/>
    <w:rsid w:val="00306D9D"/>
    <w:rsid w:val="00307197"/>
    <w:rsid w:val="00310955"/>
    <w:rsid w:val="00310983"/>
    <w:rsid w:val="00310C22"/>
    <w:rsid w:val="00311AD0"/>
    <w:rsid w:val="003123F6"/>
    <w:rsid w:val="003124C2"/>
    <w:rsid w:val="00314B15"/>
    <w:rsid w:val="003154E4"/>
    <w:rsid w:val="00315966"/>
    <w:rsid w:val="00315BC6"/>
    <w:rsid w:val="00316195"/>
    <w:rsid w:val="003162B3"/>
    <w:rsid w:val="003170A0"/>
    <w:rsid w:val="00317109"/>
    <w:rsid w:val="0031789F"/>
    <w:rsid w:val="00317F41"/>
    <w:rsid w:val="00321098"/>
    <w:rsid w:val="0032126A"/>
    <w:rsid w:val="00323548"/>
    <w:rsid w:val="0032382C"/>
    <w:rsid w:val="00323962"/>
    <w:rsid w:val="003243D4"/>
    <w:rsid w:val="003247B3"/>
    <w:rsid w:val="00324CF8"/>
    <w:rsid w:val="00325AE0"/>
    <w:rsid w:val="00325DE0"/>
    <w:rsid w:val="003261F7"/>
    <w:rsid w:val="003263DE"/>
    <w:rsid w:val="00326629"/>
    <w:rsid w:val="00326665"/>
    <w:rsid w:val="00326920"/>
    <w:rsid w:val="00326989"/>
    <w:rsid w:val="00326AC5"/>
    <w:rsid w:val="00326E16"/>
    <w:rsid w:val="00327116"/>
    <w:rsid w:val="00327B34"/>
    <w:rsid w:val="00327BA8"/>
    <w:rsid w:val="00330AC5"/>
    <w:rsid w:val="00331543"/>
    <w:rsid w:val="00331662"/>
    <w:rsid w:val="00332E2E"/>
    <w:rsid w:val="00332EAB"/>
    <w:rsid w:val="00334A28"/>
    <w:rsid w:val="00335348"/>
    <w:rsid w:val="00335849"/>
    <w:rsid w:val="00335A43"/>
    <w:rsid w:val="003361BA"/>
    <w:rsid w:val="00336ABA"/>
    <w:rsid w:val="00337248"/>
    <w:rsid w:val="003410B6"/>
    <w:rsid w:val="00341BA7"/>
    <w:rsid w:val="00341F90"/>
    <w:rsid w:val="003420FB"/>
    <w:rsid w:val="00342556"/>
    <w:rsid w:val="003430B7"/>
    <w:rsid w:val="00343613"/>
    <w:rsid w:val="0034361D"/>
    <w:rsid w:val="0034456B"/>
    <w:rsid w:val="00344962"/>
    <w:rsid w:val="00346794"/>
    <w:rsid w:val="003469FF"/>
    <w:rsid w:val="00352CF5"/>
    <w:rsid w:val="003535DF"/>
    <w:rsid w:val="0035371F"/>
    <w:rsid w:val="00353DEF"/>
    <w:rsid w:val="00354030"/>
    <w:rsid w:val="00354751"/>
    <w:rsid w:val="00354CD5"/>
    <w:rsid w:val="00354F64"/>
    <w:rsid w:val="00354FC6"/>
    <w:rsid w:val="003554EA"/>
    <w:rsid w:val="00355FC8"/>
    <w:rsid w:val="0035782B"/>
    <w:rsid w:val="00357A0F"/>
    <w:rsid w:val="003637C0"/>
    <w:rsid w:val="00363808"/>
    <w:rsid w:val="0036384E"/>
    <w:rsid w:val="00363BFF"/>
    <w:rsid w:val="00363D31"/>
    <w:rsid w:val="0036568C"/>
    <w:rsid w:val="00365BEB"/>
    <w:rsid w:val="003666E2"/>
    <w:rsid w:val="003668E2"/>
    <w:rsid w:val="00367174"/>
    <w:rsid w:val="003705BB"/>
    <w:rsid w:val="00371B95"/>
    <w:rsid w:val="00371C83"/>
    <w:rsid w:val="00372470"/>
    <w:rsid w:val="00372A42"/>
    <w:rsid w:val="00372E44"/>
    <w:rsid w:val="00373085"/>
    <w:rsid w:val="003730CD"/>
    <w:rsid w:val="00373832"/>
    <w:rsid w:val="00374770"/>
    <w:rsid w:val="00374E4D"/>
    <w:rsid w:val="003751FB"/>
    <w:rsid w:val="0037623F"/>
    <w:rsid w:val="003765C8"/>
    <w:rsid w:val="003770C1"/>
    <w:rsid w:val="0037725F"/>
    <w:rsid w:val="003778D7"/>
    <w:rsid w:val="00380BF4"/>
    <w:rsid w:val="00382369"/>
    <w:rsid w:val="003824D9"/>
    <w:rsid w:val="003828E7"/>
    <w:rsid w:val="00382EB6"/>
    <w:rsid w:val="00383065"/>
    <w:rsid w:val="003832CC"/>
    <w:rsid w:val="00383A46"/>
    <w:rsid w:val="00384C3C"/>
    <w:rsid w:val="00385E70"/>
    <w:rsid w:val="00387BFC"/>
    <w:rsid w:val="00387F78"/>
    <w:rsid w:val="00390AAE"/>
    <w:rsid w:val="00391C24"/>
    <w:rsid w:val="00392091"/>
    <w:rsid w:val="00392D0E"/>
    <w:rsid w:val="00392E85"/>
    <w:rsid w:val="0039308F"/>
    <w:rsid w:val="00394189"/>
    <w:rsid w:val="00394671"/>
    <w:rsid w:val="00395211"/>
    <w:rsid w:val="003956BD"/>
    <w:rsid w:val="00397102"/>
    <w:rsid w:val="003972AC"/>
    <w:rsid w:val="00397961"/>
    <w:rsid w:val="00397DD4"/>
    <w:rsid w:val="00397E63"/>
    <w:rsid w:val="003A088B"/>
    <w:rsid w:val="003A08D5"/>
    <w:rsid w:val="003A1EE5"/>
    <w:rsid w:val="003A33E9"/>
    <w:rsid w:val="003A3893"/>
    <w:rsid w:val="003A4559"/>
    <w:rsid w:val="003A4865"/>
    <w:rsid w:val="003A4ED4"/>
    <w:rsid w:val="003A5D4B"/>
    <w:rsid w:val="003A71A5"/>
    <w:rsid w:val="003B0835"/>
    <w:rsid w:val="003B2549"/>
    <w:rsid w:val="003B28F3"/>
    <w:rsid w:val="003B3326"/>
    <w:rsid w:val="003B3739"/>
    <w:rsid w:val="003B3A2B"/>
    <w:rsid w:val="003B5084"/>
    <w:rsid w:val="003B543D"/>
    <w:rsid w:val="003B676D"/>
    <w:rsid w:val="003C0311"/>
    <w:rsid w:val="003C1021"/>
    <w:rsid w:val="003C2505"/>
    <w:rsid w:val="003C3C1E"/>
    <w:rsid w:val="003C468C"/>
    <w:rsid w:val="003C56B1"/>
    <w:rsid w:val="003C6BD9"/>
    <w:rsid w:val="003C6C82"/>
    <w:rsid w:val="003C7B3C"/>
    <w:rsid w:val="003D167C"/>
    <w:rsid w:val="003D1EEA"/>
    <w:rsid w:val="003D2EFC"/>
    <w:rsid w:val="003D465E"/>
    <w:rsid w:val="003D6CE6"/>
    <w:rsid w:val="003D6ED0"/>
    <w:rsid w:val="003D739D"/>
    <w:rsid w:val="003D7AEC"/>
    <w:rsid w:val="003D7B46"/>
    <w:rsid w:val="003D7BFF"/>
    <w:rsid w:val="003E06C9"/>
    <w:rsid w:val="003E108E"/>
    <w:rsid w:val="003E10CE"/>
    <w:rsid w:val="003E1A56"/>
    <w:rsid w:val="003E1D00"/>
    <w:rsid w:val="003E2299"/>
    <w:rsid w:val="003E2A98"/>
    <w:rsid w:val="003E2F7E"/>
    <w:rsid w:val="003E3C9C"/>
    <w:rsid w:val="003E3F37"/>
    <w:rsid w:val="003E403D"/>
    <w:rsid w:val="003E40C5"/>
    <w:rsid w:val="003E4413"/>
    <w:rsid w:val="003E50C6"/>
    <w:rsid w:val="003E57DC"/>
    <w:rsid w:val="003E5D12"/>
    <w:rsid w:val="003E6E4E"/>
    <w:rsid w:val="003E6F3C"/>
    <w:rsid w:val="003E7138"/>
    <w:rsid w:val="003F11CD"/>
    <w:rsid w:val="003F18CD"/>
    <w:rsid w:val="003F3F29"/>
    <w:rsid w:val="003F4472"/>
    <w:rsid w:val="003F480C"/>
    <w:rsid w:val="003F590A"/>
    <w:rsid w:val="003F68E3"/>
    <w:rsid w:val="003F7327"/>
    <w:rsid w:val="003F7681"/>
    <w:rsid w:val="003F7C2A"/>
    <w:rsid w:val="00400B2A"/>
    <w:rsid w:val="0040178D"/>
    <w:rsid w:val="00401B03"/>
    <w:rsid w:val="00402194"/>
    <w:rsid w:val="00403315"/>
    <w:rsid w:val="00404453"/>
    <w:rsid w:val="0040533F"/>
    <w:rsid w:val="00405788"/>
    <w:rsid w:val="004062B5"/>
    <w:rsid w:val="004076BB"/>
    <w:rsid w:val="00407DEE"/>
    <w:rsid w:val="004103A2"/>
    <w:rsid w:val="0041169F"/>
    <w:rsid w:val="00411C63"/>
    <w:rsid w:val="00412605"/>
    <w:rsid w:val="004126E1"/>
    <w:rsid w:val="0041275B"/>
    <w:rsid w:val="00412FAE"/>
    <w:rsid w:val="00413AE3"/>
    <w:rsid w:val="00413C20"/>
    <w:rsid w:val="00413D84"/>
    <w:rsid w:val="00414864"/>
    <w:rsid w:val="00415905"/>
    <w:rsid w:val="00415B3A"/>
    <w:rsid w:val="00415D28"/>
    <w:rsid w:val="00416268"/>
    <w:rsid w:val="004163B6"/>
    <w:rsid w:val="0041737D"/>
    <w:rsid w:val="004207E4"/>
    <w:rsid w:val="00424072"/>
    <w:rsid w:val="00424210"/>
    <w:rsid w:val="00425944"/>
    <w:rsid w:val="00425A9F"/>
    <w:rsid w:val="00425E8B"/>
    <w:rsid w:val="0042624F"/>
    <w:rsid w:val="00427C2A"/>
    <w:rsid w:val="00427F8E"/>
    <w:rsid w:val="0043054B"/>
    <w:rsid w:val="00430F8A"/>
    <w:rsid w:val="0043124A"/>
    <w:rsid w:val="004312BE"/>
    <w:rsid w:val="00431E2D"/>
    <w:rsid w:val="00432BB3"/>
    <w:rsid w:val="00433539"/>
    <w:rsid w:val="0043481B"/>
    <w:rsid w:val="00434956"/>
    <w:rsid w:val="00434ABB"/>
    <w:rsid w:val="00434E68"/>
    <w:rsid w:val="00435039"/>
    <w:rsid w:val="0043510F"/>
    <w:rsid w:val="004402BB"/>
    <w:rsid w:val="00440DA3"/>
    <w:rsid w:val="00441302"/>
    <w:rsid w:val="004413CD"/>
    <w:rsid w:val="00441FB3"/>
    <w:rsid w:val="00442B7B"/>
    <w:rsid w:val="004435E2"/>
    <w:rsid w:val="00443670"/>
    <w:rsid w:val="00443EC0"/>
    <w:rsid w:val="00444709"/>
    <w:rsid w:val="00445BF7"/>
    <w:rsid w:val="00446296"/>
    <w:rsid w:val="004466E0"/>
    <w:rsid w:val="00447781"/>
    <w:rsid w:val="00447C69"/>
    <w:rsid w:val="0045014E"/>
    <w:rsid w:val="00450303"/>
    <w:rsid w:val="004524AB"/>
    <w:rsid w:val="00452A9C"/>
    <w:rsid w:val="00452DAE"/>
    <w:rsid w:val="00454369"/>
    <w:rsid w:val="00454902"/>
    <w:rsid w:val="00454D64"/>
    <w:rsid w:val="00455F8C"/>
    <w:rsid w:val="0045603B"/>
    <w:rsid w:val="00457620"/>
    <w:rsid w:val="0046022E"/>
    <w:rsid w:val="00460845"/>
    <w:rsid w:val="00460916"/>
    <w:rsid w:val="00461B19"/>
    <w:rsid w:val="004630EE"/>
    <w:rsid w:val="00463FB6"/>
    <w:rsid w:val="0046589E"/>
    <w:rsid w:val="004675BB"/>
    <w:rsid w:val="00470539"/>
    <w:rsid w:val="004714F0"/>
    <w:rsid w:val="00471742"/>
    <w:rsid w:val="00471DCC"/>
    <w:rsid w:val="00472549"/>
    <w:rsid w:val="00472B85"/>
    <w:rsid w:val="00473688"/>
    <w:rsid w:val="00473AD9"/>
    <w:rsid w:val="00473E92"/>
    <w:rsid w:val="00473ED7"/>
    <w:rsid w:val="0047561F"/>
    <w:rsid w:val="00475CB5"/>
    <w:rsid w:val="00475F88"/>
    <w:rsid w:val="0047696D"/>
    <w:rsid w:val="00480384"/>
    <w:rsid w:val="00480D39"/>
    <w:rsid w:val="00480D99"/>
    <w:rsid w:val="00481199"/>
    <w:rsid w:val="0048136F"/>
    <w:rsid w:val="00481EFB"/>
    <w:rsid w:val="00482653"/>
    <w:rsid w:val="00483BD0"/>
    <w:rsid w:val="00483F83"/>
    <w:rsid w:val="00484381"/>
    <w:rsid w:val="004854A5"/>
    <w:rsid w:val="004867A8"/>
    <w:rsid w:val="0048779C"/>
    <w:rsid w:val="00487A17"/>
    <w:rsid w:val="00487B3C"/>
    <w:rsid w:val="00487D35"/>
    <w:rsid w:val="004905BB"/>
    <w:rsid w:val="004909CF"/>
    <w:rsid w:val="00490EA8"/>
    <w:rsid w:val="00491711"/>
    <w:rsid w:val="00491ABE"/>
    <w:rsid w:val="004923A0"/>
    <w:rsid w:val="00492787"/>
    <w:rsid w:val="00492C77"/>
    <w:rsid w:val="00493D40"/>
    <w:rsid w:val="004941D8"/>
    <w:rsid w:val="00494D88"/>
    <w:rsid w:val="00495E0B"/>
    <w:rsid w:val="0049750A"/>
    <w:rsid w:val="00497C36"/>
    <w:rsid w:val="004A01F5"/>
    <w:rsid w:val="004A0467"/>
    <w:rsid w:val="004A1533"/>
    <w:rsid w:val="004A215D"/>
    <w:rsid w:val="004A2218"/>
    <w:rsid w:val="004A2A8B"/>
    <w:rsid w:val="004A3C0A"/>
    <w:rsid w:val="004A4499"/>
    <w:rsid w:val="004A55E3"/>
    <w:rsid w:val="004A7190"/>
    <w:rsid w:val="004B0498"/>
    <w:rsid w:val="004B0981"/>
    <w:rsid w:val="004B0A15"/>
    <w:rsid w:val="004B0F14"/>
    <w:rsid w:val="004B3EBE"/>
    <w:rsid w:val="004B4577"/>
    <w:rsid w:val="004B4720"/>
    <w:rsid w:val="004B49CD"/>
    <w:rsid w:val="004B502C"/>
    <w:rsid w:val="004B5772"/>
    <w:rsid w:val="004B5A49"/>
    <w:rsid w:val="004B64B8"/>
    <w:rsid w:val="004B703B"/>
    <w:rsid w:val="004B722F"/>
    <w:rsid w:val="004B76A0"/>
    <w:rsid w:val="004B7B48"/>
    <w:rsid w:val="004C045B"/>
    <w:rsid w:val="004C0510"/>
    <w:rsid w:val="004C19ED"/>
    <w:rsid w:val="004C2707"/>
    <w:rsid w:val="004C2769"/>
    <w:rsid w:val="004C30E3"/>
    <w:rsid w:val="004C3373"/>
    <w:rsid w:val="004C359C"/>
    <w:rsid w:val="004C3F88"/>
    <w:rsid w:val="004C41AA"/>
    <w:rsid w:val="004C6D76"/>
    <w:rsid w:val="004C791E"/>
    <w:rsid w:val="004C7BCB"/>
    <w:rsid w:val="004D015F"/>
    <w:rsid w:val="004D052B"/>
    <w:rsid w:val="004D0E39"/>
    <w:rsid w:val="004D12A5"/>
    <w:rsid w:val="004D13FB"/>
    <w:rsid w:val="004D1406"/>
    <w:rsid w:val="004D28E5"/>
    <w:rsid w:val="004D2D06"/>
    <w:rsid w:val="004D481E"/>
    <w:rsid w:val="004D4A4D"/>
    <w:rsid w:val="004D5029"/>
    <w:rsid w:val="004D5332"/>
    <w:rsid w:val="004D55BA"/>
    <w:rsid w:val="004D7220"/>
    <w:rsid w:val="004D7923"/>
    <w:rsid w:val="004E04EF"/>
    <w:rsid w:val="004E084D"/>
    <w:rsid w:val="004E0AD6"/>
    <w:rsid w:val="004E0F38"/>
    <w:rsid w:val="004E0F6E"/>
    <w:rsid w:val="004E1B61"/>
    <w:rsid w:val="004E1B99"/>
    <w:rsid w:val="004E323C"/>
    <w:rsid w:val="004E3F5F"/>
    <w:rsid w:val="004E4E8C"/>
    <w:rsid w:val="004E56FD"/>
    <w:rsid w:val="004E5BE5"/>
    <w:rsid w:val="004F002E"/>
    <w:rsid w:val="004F08CA"/>
    <w:rsid w:val="004F1336"/>
    <w:rsid w:val="004F30F1"/>
    <w:rsid w:val="004F313F"/>
    <w:rsid w:val="004F3570"/>
    <w:rsid w:val="004F5BFB"/>
    <w:rsid w:val="004F68F2"/>
    <w:rsid w:val="004F74D8"/>
    <w:rsid w:val="004F7695"/>
    <w:rsid w:val="004F7C97"/>
    <w:rsid w:val="0050059E"/>
    <w:rsid w:val="00501335"/>
    <w:rsid w:val="00501374"/>
    <w:rsid w:val="00503BC5"/>
    <w:rsid w:val="00504CA6"/>
    <w:rsid w:val="005053B2"/>
    <w:rsid w:val="0050547D"/>
    <w:rsid w:val="0050652E"/>
    <w:rsid w:val="0050739A"/>
    <w:rsid w:val="00507A13"/>
    <w:rsid w:val="00510E10"/>
    <w:rsid w:val="0051223F"/>
    <w:rsid w:val="005136E6"/>
    <w:rsid w:val="00513E3C"/>
    <w:rsid w:val="005146DF"/>
    <w:rsid w:val="0052014D"/>
    <w:rsid w:val="00520C1B"/>
    <w:rsid w:val="00520D65"/>
    <w:rsid w:val="00520D66"/>
    <w:rsid w:val="0052137F"/>
    <w:rsid w:val="0052159B"/>
    <w:rsid w:val="00521DE6"/>
    <w:rsid w:val="00522273"/>
    <w:rsid w:val="0052258C"/>
    <w:rsid w:val="0052294A"/>
    <w:rsid w:val="0052319C"/>
    <w:rsid w:val="00524D17"/>
    <w:rsid w:val="00525A13"/>
    <w:rsid w:val="00525F1D"/>
    <w:rsid w:val="005269F4"/>
    <w:rsid w:val="00526F6C"/>
    <w:rsid w:val="0052742B"/>
    <w:rsid w:val="00530461"/>
    <w:rsid w:val="00530A36"/>
    <w:rsid w:val="0053154E"/>
    <w:rsid w:val="00531DE8"/>
    <w:rsid w:val="00532B8B"/>
    <w:rsid w:val="00533ADF"/>
    <w:rsid w:val="00534454"/>
    <w:rsid w:val="00534732"/>
    <w:rsid w:val="0053486B"/>
    <w:rsid w:val="0053526E"/>
    <w:rsid w:val="0053659F"/>
    <w:rsid w:val="00541A2C"/>
    <w:rsid w:val="005428CB"/>
    <w:rsid w:val="00546364"/>
    <w:rsid w:val="00546396"/>
    <w:rsid w:val="00547548"/>
    <w:rsid w:val="00547A82"/>
    <w:rsid w:val="005507EF"/>
    <w:rsid w:val="00550A1D"/>
    <w:rsid w:val="00550DEB"/>
    <w:rsid w:val="00552326"/>
    <w:rsid w:val="00552B38"/>
    <w:rsid w:val="00553D30"/>
    <w:rsid w:val="00554ABA"/>
    <w:rsid w:val="00555D8E"/>
    <w:rsid w:val="005604B3"/>
    <w:rsid w:val="00560E96"/>
    <w:rsid w:val="005612E8"/>
    <w:rsid w:val="0056190D"/>
    <w:rsid w:val="00562470"/>
    <w:rsid w:val="00562C39"/>
    <w:rsid w:val="00563616"/>
    <w:rsid w:val="00564356"/>
    <w:rsid w:val="00564478"/>
    <w:rsid w:val="00564B67"/>
    <w:rsid w:val="00565093"/>
    <w:rsid w:val="00565A60"/>
    <w:rsid w:val="0056616F"/>
    <w:rsid w:val="00566DFE"/>
    <w:rsid w:val="00567A81"/>
    <w:rsid w:val="00567DA3"/>
    <w:rsid w:val="00570755"/>
    <w:rsid w:val="00574E6C"/>
    <w:rsid w:val="00576550"/>
    <w:rsid w:val="0057678F"/>
    <w:rsid w:val="00577A2D"/>
    <w:rsid w:val="00580405"/>
    <w:rsid w:val="00580F09"/>
    <w:rsid w:val="00581CA0"/>
    <w:rsid w:val="00582B02"/>
    <w:rsid w:val="005839A9"/>
    <w:rsid w:val="005845B5"/>
    <w:rsid w:val="00585B88"/>
    <w:rsid w:val="00585BB0"/>
    <w:rsid w:val="00586633"/>
    <w:rsid w:val="00586754"/>
    <w:rsid w:val="0058708B"/>
    <w:rsid w:val="00587616"/>
    <w:rsid w:val="00587F22"/>
    <w:rsid w:val="005906A2"/>
    <w:rsid w:val="00590770"/>
    <w:rsid w:val="00592608"/>
    <w:rsid w:val="00592E49"/>
    <w:rsid w:val="005963C2"/>
    <w:rsid w:val="00596E7F"/>
    <w:rsid w:val="005973B3"/>
    <w:rsid w:val="005977E6"/>
    <w:rsid w:val="005A09F7"/>
    <w:rsid w:val="005A0B95"/>
    <w:rsid w:val="005A0C91"/>
    <w:rsid w:val="005A17FC"/>
    <w:rsid w:val="005A24B3"/>
    <w:rsid w:val="005A3442"/>
    <w:rsid w:val="005A42A1"/>
    <w:rsid w:val="005A4D51"/>
    <w:rsid w:val="005A5FC0"/>
    <w:rsid w:val="005A64D1"/>
    <w:rsid w:val="005A76AF"/>
    <w:rsid w:val="005A7DE0"/>
    <w:rsid w:val="005B052D"/>
    <w:rsid w:val="005B076B"/>
    <w:rsid w:val="005B0DE9"/>
    <w:rsid w:val="005B1332"/>
    <w:rsid w:val="005B1EEE"/>
    <w:rsid w:val="005B2CB9"/>
    <w:rsid w:val="005B4154"/>
    <w:rsid w:val="005B421A"/>
    <w:rsid w:val="005B53EC"/>
    <w:rsid w:val="005B6725"/>
    <w:rsid w:val="005B6B4D"/>
    <w:rsid w:val="005B7378"/>
    <w:rsid w:val="005B785C"/>
    <w:rsid w:val="005C0DDE"/>
    <w:rsid w:val="005C357C"/>
    <w:rsid w:val="005C3D58"/>
    <w:rsid w:val="005C4ADA"/>
    <w:rsid w:val="005C6CD1"/>
    <w:rsid w:val="005C706B"/>
    <w:rsid w:val="005D0754"/>
    <w:rsid w:val="005D0916"/>
    <w:rsid w:val="005D13AC"/>
    <w:rsid w:val="005D145A"/>
    <w:rsid w:val="005D1CD0"/>
    <w:rsid w:val="005D20F5"/>
    <w:rsid w:val="005D2819"/>
    <w:rsid w:val="005D2A78"/>
    <w:rsid w:val="005D3489"/>
    <w:rsid w:val="005E0699"/>
    <w:rsid w:val="005E1B07"/>
    <w:rsid w:val="005E1BA1"/>
    <w:rsid w:val="005E1F97"/>
    <w:rsid w:val="005E258C"/>
    <w:rsid w:val="005E281A"/>
    <w:rsid w:val="005E2A95"/>
    <w:rsid w:val="005E3E51"/>
    <w:rsid w:val="005E50C9"/>
    <w:rsid w:val="005E5388"/>
    <w:rsid w:val="005E638B"/>
    <w:rsid w:val="005F0079"/>
    <w:rsid w:val="005F08FB"/>
    <w:rsid w:val="005F1697"/>
    <w:rsid w:val="005F1732"/>
    <w:rsid w:val="005F2076"/>
    <w:rsid w:val="005F2B26"/>
    <w:rsid w:val="005F2E05"/>
    <w:rsid w:val="005F50C3"/>
    <w:rsid w:val="005F594D"/>
    <w:rsid w:val="005F5D45"/>
    <w:rsid w:val="005F620B"/>
    <w:rsid w:val="005F685E"/>
    <w:rsid w:val="005F6A54"/>
    <w:rsid w:val="005F70C9"/>
    <w:rsid w:val="005F7FA1"/>
    <w:rsid w:val="0060026C"/>
    <w:rsid w:val="00602393"/>
    <w:rsid w:val="00602B22"/>
    <w:rsid w:val="006035C2"/>
    <w:rsid w:val="0060401A"/>
    <w:rsid w:val="006042F5"/>
    <w:rsid w:val="00604399"/>
    <w:rsid w:val="006043E2"/>
    <w:rsid w:val="006056BA"/>
    <w:rsid w:val="00606A11"/>
    <w:rsid w:val="006074E7"/>
    <w:rsid w:val="00607B18"/>
    <w:rsid w:val="00610EE7"/>
    <w:rsid w:val="00611038"/>
    <w:rsid w:val="0061119B"/>
    <w:rsid w:val="006127F1"/>
    <w:rsid w:val="00612C31"/>
    <w:rsid w:val="00614947"/>
    <w:rsid w:val="00614FFE"/>
    <w:rsid w:val="00617530"/>
    <w:rsid w:val="006178DC"/>
    <w:rsid w:val="00617E4F"/>
    <w:rsid w:val="00620834"/>
    <w:rsid w:val="0062097D"/>
    <w:rsid w:val="006218F3"/>
    <w:rsid w:val="00622303"/>
    <w:rsid w:val="0062264F"/>
    <w:rsid w:val="006229F9"/>
    <w:rsid w:val="00623809"/>
    <w:rsid w:val="00623EFD"/>
    <w:rsid w:val="0062475C"/>
    <w:rsid w:val="00624B9C"/>
    <w:rsid w:val="00625DD1"/>
    <w:rsid w:val="00625F88"/>
    <w:rsid w:val="0062715B"/>
    <w:rsid w:val="006304EB"/>
    <w:rsid w:val="00630B3A"/>
    <w:rsid w:val="0063119D"/>
    <w:rsid w:val="00633812"/>
    <w:rsid w:val="006342D4"/>
    <w:rsid w:val="00634578"/>
    <w:rsid w:val="00636E41"/>
    <w:rsid w:val="00636F23"/>
    <w:rsid w:val="00640066"/>
    <w:rsid w:val="006405D3"/>
    <w:rsid w:val="00642ED2"/>
    <w:rsid w:val="00645095"/>
    <w:rsid w:val="006466B7"/>
    <w:rsid w:val="00647011"/>
    <w:rsid w:val="0064790B"/>
    <w:rsid w:val="00650C15"/>
    <w:rsid w:val="00653B64"/>
    <w:rsid w:val="0065439F"/>
    <w:rsid w:val="00654AD3"/>
    <w:rsid w:val="00655341"/>
    <w:rsid w:val="00655659"/>
    <w:rsid w:val="0065600A"/>
    <w:rsid w:val="00656AE8"/>
    <w:rsid w:val="00656F74"/>
    <w:rsid w:val="006570A7"/>
    <w:rsid w:val="006579D8"/>
    <w:rsid w:val="006612BE"/>
    <w:rsid w:val="006613C3"/>
    <w:rsid w:val="00662197"/>
    <w:rsid w:val="006643CF"/>
    <w:rsid w:val="00665002"/>
    <w:rsid w:val="006662E3"/>
    <w:rsid w:val="006663A4"/>
    <w:rsid w:val="006664B8"/>
    <w:rsid w:val="006665C0"/>
    <w:rsid w:val="006665DB"/>
    <w:rsid w:val="00667337"/>
    <w:rsid w:val="00670894"/>
    <w:rsid w:val="00670F80"/>
    <w:rsid w:val="00671439"/>
    <w:rsid w:val="00672516"/>
    <w:rsid w:val="0067274F"/>
    <w:rsid w:val="0067277D"/>
    <w:rsid w:val="00672833"/>
    <w:rsid w:val="006728A5"/>
    <w:rsid w:val="00673772"/>
    <w:rsid w:val="00673931"/>
    <w:rsid w:val="00673C60"/>
    <w:rsid w:val="00673EFC"/>
    <w:rsid w:val="006744AB"/>
    <w:rsid w:val="00675084"/>
    <w:rsid w:val="00675398"/>
    <w:rsid w:val="0067616B"/>
    <w:rsid w:val="00676F3C"/>
    <w:rsid w:val="006770C0"/>
    <w:rsid w:val="0068020D"/>
    <w:rsid w:val="006810D7"/>
    <w:rsid w:val="0068120E"/>
    <w:rsid w:val="006846D3"/>
    <w:rsid w:val="00684B48"/>
    <w:rsid w:val="006857F4"/>
    <w:rsid w:val="00687956"/>
    <w:rsid w:val="006879A1"/>
    <w:rsid w:val="006879C9"/>
    <w:rsid w:val="0069030E"/>
    <w:rsid w:val="00690745"/>
    <w:rsid w:val="00692239"/>
    <w:rsid w:val="00692787"/>
    <w:rsid w:val="006932B6"/>
    <w:rsid w:val="00693CFC"/>
    <w:rsid w:val="00694213"/>
    <w:rsid w:val="00695AF6"/>
    <w:rsid w:val="00695E05"/>
    <w:rsid w:val="00695FB5"/>
    <w:rsid w:val="006A0899"/>
    <w:rsid w:val="006A12F4"/>
    <w:rsid w:val="006A1910"/>
    <w:rsid w:val="006A1952"/>
    <w:rsid w:val="006A25C2"/>
    <w:rsid w:val="006A2604"/>
    <w:rsid w:val="006A2FFB"/>
    <w:rsid w:val="006A3D05"/>
    <w:rsid w:val="006A4637"/>
    <w:rsid w:val="006A47F4"/>
    <w:rsid w:val="006A5554"/>
    <w:rsid w:val="006A60B4"/>
    <w:rsid w:val="006A6E64"/>
    <w:rsid w:val="006A7B69"/>
    <w:rsid w:val="006A7C0B"/>
    <w:rsid w:val="006B052B"/>
    <w:rsid w:val="006B1147"/>
    <w:rsid w:val="006B18B7"/>
    <w:rsid w:val="006B1E0F"/>
    <w:rsid w:val="006B35FA"/>
    <w:rsid w:val="006B4513"/>
    <w:rsid w:val="006B487F"/>
    <w:rsid w:val="006B5231"/>
    <w:rsid w:val="006B590D"/>
    <w:rsid w:val="006B5C50"/>
    <w:rsid w:val="006B6A3F"/>
    <w:rsid w:val="006B6E67"/>
    <w:rsid w:val="006C2A78"/>
    <w:rsid w:val="006C2A94"/>
    <w:rsid w:val="006C42CD"/>
    <w:rsid w:val="006C4C69"/>
    <w:rsid w:val="006C4D58"/>
    <w:rsid w:val="006C5C8E"/>
    <w:rsid w:val="006C5DAC"/>
    <w:rsid w:val="006C6903"/>
    <w:rsid w:val="006C724B"/>
    <w:rsid w:val="006C782F"/>
    <w:rsid w:val="006C7AFD"/>
    <w:rsid w:val="006D0289"/>
    <w:rsid w:val="006D040E"/>
    <w:rsid w:val="006D2099"/>
    <w:rsid w:val="006D3358"/>
    <w:rsid w:val="006D4C96"/>
    <w:rsid w:val="006D548C"/>
    <w:rsid w:val="006D74F8"/>
    <w:rsid w:val="006D7509"/>
    <w:rsid w:val="006D793D"/>
    <w:rsid w:val="006D7CC5"/>
    <w:rsid w:val="006E0E5A"/>
    <w:rsid w:val="006E2188"/>
    <w:rsid w:val="006E404B"/>
    <w:rsid w:val="006E4540"/>
    <w:rsid w:val="006E4BF5"/>
    <w:rsid w:val="006E518B"/>
    <w:rsid w:val="006E5980"/>
    <w:rsid w:val="006E6E6A"/>
    <w:rsid w:val="006E7264"/>
    <w:rsid w:val="006F0C80"/>
    <w:rsid w:val="006F2019"/>
    <w:rsid w:val="006F25EA"/>
    <w:rsid w:val="006F4A1B"/>
    <w:rsid w:val="006F50E7"/>
    <w:rsid w:val="006F6850"/>
    <w:rsid w:val="006F7694"/>
    <w:rsid w:val="007008F6"/>
    <w:rsid w:val="00700A51"/>
    <w:rsid w:val="00700C04"/>
    <w:rsid w:val="007013BE"/>
    <w:rsid w:val="007016E6"/>
    <w:rsid w:val="00701CAC"/>
    <w:rsid w:val="00701D31"/>
    <w:rsid w:val="0070202E"/>
    <w:rsid w:val="00703D5E"/>
    <w:rsid w:val="0070473F"/>
    <w:rsid w:val="007048F6"/>
    <w:rsid w:val="00706298"/>
    <w:rsid w:val="00706B95"/>
    <w:rsid w:val="0070772B"/>
    <w:rsid w:val="007078D4"/>
    <w:rsid w:val="00711D1D"/>
    <w:rsid w:val="007133D6"/>
    <w:rsid w:val="007143B6"/>
    <w:rsid w:val="007148C0"/>
    <w:rsid w:val="00714A4F"/>
    <w:rsid w:val="007152A3"/>
    <w:rsid w:val="00715F1A"/>
    <w:rsid w:val="0071646F"/>
    <w:rsid w:val="00716638"/>
    <w:rsid w:val="00716EBC"/>
    <w:rsid w:val="007177CF"/>
    <w:rsid w:val="00717F63"/>
    <w:rsid w:val="00721896"/>
    <w:rsid w:val="007223E2"/>
    <w:rsid w:val="00722E2E"/>
    <w:rsid w:val="00722EB3"/>
    <w:rsid w:val="00723941"/>
    <w:rsid w:val="0072452D"/>
    <w:rsid w:val="00725929"/>
    <w:rsid w:val="007270F9"/>
    <w:rsid w:val="00727641"/>
    <w:rsid w:val="00727702"/>
    <w:rsid w:val="0073036D"/>
    <w:rsid w:val="00730AA8"/>
    <w:rsid w:val="007315AD"/>
    <w:rsid w:val="0073224E"/>
    <w:rsid w:val="00732DD2"/>
    <w:rsid w:val="0073334C"/>
    <w:rsid w:val="00733FDA"/>
    <w:rsid w:val="00734446"/>
    <w:rsid w:val="00734A79"/>
    <w:rsid w:val="007352BE"/>
    <w:rsid w:val="00735733"/>
    <w:rsid w:val="007361BC"/>
    <w:rsid w:val="00736834"/>
    <w:rsid w:val="00740DDA"/>
    <w:rsid w:val="00743319"/>
    <w:rsid w:val="00743849"/>
    <w:rsid w:val="00743AB6"/>
    <w:rsid w:val="00743B6D"/>
    <w:rsid w:val="00743E1A"/>
    <w:rsid w:val="00744B1F"/>
    <w:rsid w:val="00745DBB"/>
    <w:rsid w:val="00746C8F"/>
    <w:rsid w:val="0074705E"/>
    <w:rsid w:val="00747062"/>
    <w:rsid w:val="00750781"/>
    <w:rsid w:val="00751CCB"/>
    <w:rsid w:val="007521D7"/>
    <w:rsid w:val="00753057"/>
    <w:rsid w:val="00753409"/>
    <w:rsid w:val="00753AF2"/>
    <w:rsid w:val="00754240"/>
    <w:rsid w:val="007548F9"/>
    <w:rsid w:val="00756CE9"/>
    <w:rsid w:val="00760619"/>
    <w:rsid w:val="00760A5E"/>
    <w:rsid w:val="00761D75"/>
    <w:rsid w:val="00762104"/>
    <w:rsid w:val="00762637"/>
    <w:rsid w:val="00762FF6"/>
    <w:rsid w:val="007646A2"/>
    <w:rsid w:val="0076496E"/>
    <w:rsid w:val="00771BF6"/>
    <w:rsid w:val="007724B8"/>
    <w:rsid w:val="00772658"/>
    <w:rsid w:val="0077267D"/>
    <w:rsid w:val="00772E8D"/>
    <w:rsid w:val="007740C9"/>
    <w:rsid w:val="0077514C"/>
    <w:rsid w:val="00775A0D"/>
    <w:rsid w:val="00776154"/>
    <w:rsid w:val="00776C6F"/>
    <w:rsid w:val="00776D8B"/>
    <w:rsid w:val="00776F9D"/>
    <w:rsid w:val="00777453"/>
    <w:rsid w:val="00777C85"/>
    <w:rsid w:val="00777D84"/>
    <w:rsid w:val="00780126"/>
    <w:rsid w:val="0078215A"/>
    <w:rsid w:val="00782D0D"/>
    <w:rsid w:val="0078392F"/>
    <w:rsid w:val="00783D7E"/>
    <w:rsid w:val="00783E19"/>
    <w:rsid w:val="00785BF0"/>
    <w:rsid w:val="00786796"/>
    <w:rsid w:val="00786806"/>
    <w:rsid w:val="00786C92"/>
    <w:rsid w:val="00787213"/>
    <w:rsid w:val="00787586"/>
    <w:rsid w:val="00787ED6"/>
    <w:rsid w:val="00787EDB"/>
    <w:rsid w:val="0079010A"/>
    <w:rsid w:val="007903BE"/>
    <w:rsid w:val="007910C8"/>
    <w:rsid w:val="00791917"/>
    <w:rsid w:val="00791A23"/>
    <w:rsid w:val="00791D01"/>
    <w:rsid w:val="00791DF8"/>
    <w:rsid w:val="0079354A"/>
    <w:rsid w:val="007936DE"/>
    <w:rsid w:val="00794CD6"/>
    <w:rsid w:val="00795DEA"/>
    <w:rsid w:val="00795DF6"/>
    <w:rsid w:val="00795E19"/>
    <w:rsid w:val="0079612F"/>
    <w:rsid w:val="00797076"/>
    <w:rsid w:val="007974EE"/>
    <w:rsid w:val="0079769A"/>
    <w:rsid w:val="007976FC"/>
    <w:rsid w:val="007A1375"/>
    <w:rsid w:val="007A1BE5"/>
    <w:rsid w:val="007A35DD"/>
    <w:rsid w:val="007A3A85"/>
    <w:rsid w:val="007A4152"/>
    <w:rsid w:val="007A5045"/>
    <w:rsid w:val="007A5FE6"/>
    <w:rsid w:val="007A6717"/>
    <w:rsid w:val="007A7316"/>
    <w:rsid w:val="007A73FC"/>
    <w:rsid w:val="007A7706"/>
    <w:rsid w:val="007B0AC2"/>
    <w:rsid w:val="007B0D3E"/>
    <w:rsid w:val="007B10A9"/>
    <w:rsid w:val="007B1BAA"/>
    <w:rsid w:val="007B3019"/>
    <w:rsid w:val="007B35B8"/>
    <w:rsid w:val="007B37EB"/>
    <w:rsid w:val="007B3932"/>
    <w:rsid w:val="007B3D4A"/>
    <w:rsid w:val="007B3E44"/>
    <w:rsid w:val="007B4660"/>
    <w:rsid w:val="007B524C"/>
    <w:rsid w:val="007B524D"/>
    <w:rsid w:val="007B6B7A"/>
    <w:rsid w:val="007B7465"/>
    <w:rsid w:val="007B78D5"/>
    <w:rsid w:val="007C003F"/>
    <w:rsid w:val="007C02B7"/>
    <w:rsid w:val="007C11AF"/>
    <w:rsid w:val="007C1C2A"/>
    <w:rsid w:val="007C1D5B"/>
    <w:rsid w:val="007C3A72"/>
    <w:rsid w:val="007C3A9D"/>
    <w:rsid w:val="007C3B3C"/>
    <w:rsid w:val="007C4FBD"/>
    <w:rsid w:val="007C547E"/>
    <w:rsid w:val="007C5E48"/>
    <w:rsid w:val="007C6881"/>
    <w:rsid w:val="007C701E"/>
    <w:rsid w:val="007D0EBD"/>
    <w:rsid w:val="007D21A8"/>
    <w:rsid w:val="007D44EC"/>
    <w:rsid w:val="007D6223"/>
    <w:rsid w:val="007E1C76"/>
    <w:rsid w:val="007E20A5"/>
    <w:rsid w:val="007E26A0"/>
    <w:rsid w:val="007E2EEA"/>
    <w:rsid w:val="007E3A85"/>
    <w:rsid w:val="007E48BE"/>
    <w:rsid w:val="007E4C4F"/>
    <w:rsid w:val="007E5694"/>
    <w:rsid w:val="007E5BC3"/>
    <w:rsid w:val="007E6979"/>
    <w:rsid w:val="007E70BF"/>
    <w:rsid w:val="007E7327"/>
    <w:rsid w:val="007E73F4"/>
    <w:rsid w:val="007F0027"/>
    <w:rsid w:val="007F0239"/>
    <w:rsid w:val="007F0CD6"/>
    <w:rsid w:val="007F0E4E"/>
    <w:rsid w:val="007F1A15"/>
    <w:rsid w:val="007F1C22"/>
    <w:rsid w:val="007F1EA4"/>
    <w:rsid w:val="007F220A"/>
    <w:rsid w:val="007F29C1"/>
    <w:rsid w:val="007F35F0"/>
    <w:rsid w:val="007F5333"/>
    <w:rsid w:val="007F614E"/>
    <w:rsid w:val="007F6278"/>
    <w:rsid w:val="007F6406"/>
    <w:rsid w:val="007F6904"/>
    <w:rsid w:val="008007BE"/>
    <w:rsid w:val="00800A95"/>
    <w:rsid w:val="008012F8"/>
    <w:rsid w:val="008013E0"/>
    <w:rsid w:val="00801A5D"/>
    <w:rsid w:val="00801CA6"/>
    <w:rsid w:val="0080226C"/>
    <w:rsid w:val="00802413"/>
    <w:rsid w:val="00802879"/>
    <w:rsid w:val="0080338A"/>
    <w:rsid w:val="00803C2A"/>
    <w:rsid w:val="00803C74"/>
    <w:rsid w:val="00803F95"/>
    <w:rsid w:val="00804B79"/>
    <w:rsid w:val="0080516B"/>
    <w:rsid w:val="0080521D"/>
    <w:rsid w:val="008059F8"/>
    <w:rsid w:val="00806358"/>
    <w:rsid w:val="008065D1"/>
    <w:rsid w:val="00806C82"/>
    <w:rsid w:val="008070C1"/>
    <w:rsid w:val="008071BF"/>
    <w:rsid w:val="00810A57"/>
    <w:rsid w:val="00811890"/>
    <w:rsid w:val="00813334"/>
    <w:rsid w:val="00813B67"/>
    <w:rsid w:val="00813B6D"/>
    <w:rsid w:val="00814426"/>
    <w:rsid w:val="00815D3E"/>
    <w:rsid w:val="0081631B"/>
    <w:rsid w:val="00817E47"/>
    <w:rsid w:val="00821521"/>
    <w:rsid w:val="00821EAA"/>
    <w:rsid w:val="0082252D"/>
    <w:rsid w:val="00822B56"/>
    <w:rsid w:val="00823ACD"/>
    <w:rsid w:val="00824534"/>
    <w:rsid w:val="00825078"/>
    <w:rsid w:val="008258EF"/>
    <w:rsid w:val="008263A9"/>
    <w:rsid w:val="00826BDE"/>
    <w:rsid w:val="00826F77"/>
    <w:rsid w:val="0083195A"/>
    <w:rsid w:val="0083293D"/>
    <w:rsid w:val="00832B14"/>
    <w:rsid w:val="00833593"/>
    <w:rsid w:val="008338F3"/>
    <w:rsid w:val="00833E1E"/>
    <w:rsid w:val="008356C9"/>
    <w:rsid w:val="00835EA4"/>
    <w:rsid w:val="0083632B"/>
    <w:rsid w:val="00836631"/>
    <w:rsid w:val="008376AC"/>
    <w:rsid w:val="008379DA"/>
    <w:rsid w:val="0084029E"/>
    <w:rsid w:val="00840345"/>
    <w:rsid w:val="00840F28"/>
    <w:rsid w:val="00841DD1"/>
    <w:rsid w:val="008421E5"/>
    <w:rsid w:val="0084225B"/>
    <w:rsid w:val="008429DA"/>
    <w:rsid w:val="00842A1A"/>
    <w:rsid w:val="00843AF7"/>
    <w:rsid w:val="008447BD"/>
    <w:rsid w:val="00844AD1"/>
    <w:rsid w:val="00845934"/>
    <w:rsid w:val="0084704E"/>
    <w:rsid w:val="00847060"/>
    <w:rsid w:val="00847603"/>
    <w:rsid w:val="0084799F"/>
    <w:rsid w:val="0085070C"/>
    <w:rsid w:val="00850A29"/>
    <w:rsid w:val="008516E6"/>
    <w:rsid w:val="00851C34"/>
    <w:rsid w:val="00852C4F"/>
    <w:rsid w:val="008533C3"/>
    <w:rsid w:val="00853A55"/>
    <w:rsid w:val="008549AA"/>
    <w:rsid w:val="0085549E"/>
    <w:rsid w:val="008554A3"/>
    <w:rsid w:val="00855B77"/>
    <w:rsid w:val="00855E92"/>
    <w:rsid w:val="008560A0"/>
    <w:rsid w:val="0085695D"/>
    <w:rsid w:val="00856D48"/>
    <w:rsid w:val="00856FB4"/>
    <w:rsid w:val="0085739E"/>
    <w:rsid w:val="00857960"/>
    <w:rsid w:val="00857F22"/>
    <w:rsid w:val="00860082"/>
    <w:rsid w:val="00860313"/>
    <w:rsid w:val="00860B3C"/>
    <w:rsid w:val="00860C79"/>
    <w:rsid w:val="00861B5B"/>
    <w:rsid w:val="00862621"/>
    <w:rsid w:val="0086378F"/>
    <w:rsid w:val="00863EAA"/>
    <w:rsid w:val="00863FED"/>
    <w:rsid w:val="008642D4"/>
    <w:rsid w:val="008653B7"/>
    <w:rsid w:val="008657CE"/>
    <w:rsid w:val="00865A71"/>
    <w:rsid w:val="008669AC"/>
    <w:rsid w:val="008676AB"/>
    <w:rsid w:val="00870208"/>
    <w:rsid w:val="00872E80"/>
    <w:rsid w:val="00873DAE"/>
    <w:rsid w:val="008743B4"/>
    <w:rsid w:val="00874899"/>
    <w:rsid w:val="008751F1"/>
    <w:rsid w:val="008755E5"/>
    <w:rsid w:val="008756D4"/>
    <w:rsid w:val="00875E17"/>
    <w:rsid w:val="00876151"/>
    <w:rsid w:val="008761EA"/>
    <w:rsid w:val="008768E8"/>
    <w:rsid w:val="00877014"/>
    <w:rsid w:val="008776CB"/>
    <w:rsid w:val="00877709"/>
    <w:rsid w:val="008801FD"/>
    <w:rsid w:val="00881C8D"/>
    <w:rsid w:val="00882C38"/>
    <w:rsid w:val="008837FB"/>
    <w:rsid w:val="00883B26"/>
    <w:rsid w:val="00884031"/>
    <w:rsid w:val="00884070"/>
    <w:rsid w:val="00886F7C"/>
    <w:rsid w:val="008875E2"/>
    <w:rsid w:val="008876FB"/>
    <w:rsid w:val="00887F2D"/>
    <w:rsid w:val="00887FDA"/>
    <w:rsid w:val="00890740"/>
    <w:rsid w:val="00891567"/>
    <w:rsid w:val="008922E5"/>
    <w:rsid w:val="008923BE"/>
    <w:rsid w:val="008930D9"/>
    <w:rsid w:val="00893EBB"/>
    <w:rsid w:val="00894681"/>
    <w:rsid w:val="0089676D"/>
    <w:rsid w:val="00896F76"/>
    <w:rsid w:val="008979DC"/>
    <w:rsid w:val="00897F80"/>
    <w:rsid w:val="008A096B"/>
    <w:rsid w:val="008A0CA5"/>
    <w:rsid w:val="008A12FE"/>
    <w:rsid w:val="008A1BEE"/>
    <w:rsid w:val="008A4816"/>
    <w:rsid w:val="008A4AE4"/>
    <w:rsid w:val="008A5601"/>
    <w:rsid w:val="008A6110"/>
    <w:rsid w:val="008A688A"/>
    <w:rsid w:val="008A7073"/>
    <w:rsid w:val="008A7912"/>
    <w:rsid w:val="008A7C79"/>
    <w:rsid w:val="008A7EB5"/>
    <w:rsid w:val="008B00E7"/>
    <w:rsid w:val="008B015D"/>
    <w:rsid w:val="008B0E97"/>
    <w:rsid w:val="008B1993"/>
    <w:rsid w:val="008B3149"/>
    <w:rsid w:val="008B4D4E"/>
    <w:rsid w:val="008B6095"/>
    <w:rsid w:val="008B670F"/>
    <w:rsid w:val="008B7CED"/>
    <w:rsid w:val="008B7E25"/>
    <w:rsid w:val="008B7EC3"/>
    <w:rsid w:val="008C0E73"/>
    <w:rsid w:val="008C2A6F"/>
    <w:rsid w:val="008C2DD9"/>
    <w:rsid w:val="008C37C1"/>
    <w:rsid w:val="008C37ED"/>
    <w:rsid w:val="008C3886"/>
    <w:rsid w:val="008C457C"/>
    <w:rsid w:val="008C4F84"/>
    <w:rsid w:val="008C4FEA"/>
    <w:rsid w:val="008C592E"/>
    <w:rsid w:val="008C5A8C"/>
    <w:rsid w:val="008C5BB5"/>
    <w:rsid w:val="008C693F"/>
    <w:rsid w:val="008C6DC3"/>
    <w:rsid w:val="008C6E66"/>
    <w:rsid w:val="008C729A"/>
    <w:rsid w:val="008D0021"/>
    <w:rsid w:val="008D0275"/>
    <w:rsid w:val="008D1481"/>
    <w:rsid w:val="008D2F4C"/>
    <w:rsid w:val="008D3C12"/>
    <w:rsid w:val="008D3E26"/>
    <w:rsid w:val="008D415C"/>
    <w:rsid w:val="008D41AF"/>
    <w:rsid w:val="008D5202"/>
    <w:rsid w:val="008D5B5E"/>
    <w:rsid w:val="008D5C4D"/>
    <w:rsid w:val="008D66C2"/>
    <w:rsid w:val="008D7251"/>
    <w:rsid w:val="008E229D"/>
    <w:rsid w:val="008E2F38"/>
    <w:rsid w:val="008E3152"/>
    <w:rsid w:val="008E3175"/>
    <w:rsid w:val="008E461E"/>
    <w:rsid w:val="008E484C"/>
    <w:rsid w:val="008E4C1B"/>
    <w:rsid w:val="008E635D"/>
    <w:rsid w:val="008E6E50"/>
    <w:rsid w:val="008E73A7"/>
    <w:rsid w:val="008E7EEE"/>
    <w:rsid w:val="008F21D2"/>
    <w:rsid w:val="008F29E4"/>
    <w:rsid w:val="008F3A90"/>
    <w:rsid w:val="008F49DE"/>
    <w:rsid w:val="008F4F7E"/>
    <w:rsid w:val="008F5405"/>
    <w:rsid w:val="008F579C"/>
    <w:rsid w:val="008F5936"/>
    <w:rsid w:val="008F6878"/>
    <w:rsid w:val="008F6F37"/>
    <w:rsid w:val="008F732F"/>
    <w:rsid w:val="0090036F"/>
    <w:rsid w:val="0090049D"/>
    <w:rsid w:val="00900572"/>
    <w:rsid w:val="00900BB3"/>
    <w:rsid w:val="0090252F"/>
    <w:rsid w:val="0090310A"/>
    <w:rsid w:val="0090360C"/>
    <w:rsid w:val="00903D17"/>
    <w:rsid w:val="009045C1"/>
    <w:rsid w:val="0090568F"/>
    <w:rsid w:val="00905ACF"/>
    <w:rsid w:val="0090607D"/>
    <w:rsid w:val="00906296"/>
    <w:rsid w:val="00906A28"/>
    <w:rsid w:val="00907E5A"/>
    <w:rsid w:val="00907E9E"/>
    <w:rsid w:val="00910B0F"/>
    <w:rsid w:val="0091112E"/>
    <w:rsid w:val="00911187"/>
    <w:rsid w:val="00911340"/>
    <w:rsid w:val="009116E8"/>
    <w:rsid w:val="00911C9A"/>
    <w:rsid w:val="00913F7C"/>
    <w:rsid w:val="00914E58"/>
    <w:rsid w:val="009165C7"/>
    <w:rsid w:val="009172CE"/>
    <w:rsid w:val="0092003B"/>
    <w:rsid w:val="009207A8"/>
    <w:rsid w:val="00921F95"/>
    <w:rsid w:val="00923B6D"/>
    <w:rsid w:val="00924E01"/>
    <w:rsid w:val="0092564C"/>
    <w:rsid w:val="00925D0D"/>
    <w:rsid w:val="0092676F"/>
    <w:rsid w:val="009267FC"/>
    <w:rsid w:val="00926C0B"/>
    <w:rsid w:val="00927445"/>
    <w:rsid w:val="00927722"/>
    <w:rsid w:val="009309F1"/>
    <w:rsid w:val="00930DD3"/>
    <w:rsid w:val="00931AC7"/>
    <w:rsid w:val="00932324"/>
    <w:rsid w:val="00932C3C"/>
    <w:rsid w:val="00932E54"/>
    <w:rsid w:val="00932E92"/>
    <w:rsid w:val="00933256"/>
    <w:rsid w:val="009364FC"/>
    <w:rsid w:val="00937A6E"/>
    <w:rsid w:val="00940020"/>
    <w:rsid w:val="00940200"/>
    <w:rsid w:val="00941071"/>
    <w:rsid w:val="009412A8"/>
    <w:rsid w:val="009429F8"/>
    <w:rsid w:val="00942A0B"/>
    <w:rsid w:val="00942A75"/>
    <w:rsid w:val="00943753"/>
    <w:rsid w:val="00943F3D"/>
    <w:rsid w:val="00945E7B"/>
    <w:rsid w:val="009468EE"/>
    <w:rsid w:val="00950346"/>
    <w:rsid w:val="00950D34"/>
    <w:rsid w:val="009518C9"/>
    <w:rsid w:val="00952975"/>
    <w:rsid w:val="00952A98"/>
    <w:rsid w:val="00953249"/>
    <w:rsid w:val="00954CFE"/>
    <w:rsid w:val="009559B1"/>
    <w:rsid w:val="00955FAF"/>
    <w:rsid w:val="00956111"/>
    <w:rsid w:val="00957239"/>
    <w:rsid w:val="009574BD"/>
    <w:rsid w:val="00957D21"/>
    <w:rsid w:val="00960B49"/>
    <w:rsid w:val="00960F69"/>
    <w:rsid w:val="009623BE"/>
    <w:rsid w:val="0096276A"/>
    <w:rsid w:val="00963560"/>
    <w:rsid w:val="009638D7"/>
    <w:rsid w:val="00964B8A"/>
    <w:rsid w:val="00966AF5"/>
    <w:rsid w:val="00967159"/>
    <w:rsid w:val="00967B6C"/>
    <w:rsid w:val="009701EF"/>
    <w:rsid w:val="00972502"/>
    <w:rsid w:val="00972681"/>
    <w:rsid w:val="00972C4B"/>
    <w:rsid w:val="0097421D"/>
    <w:rsid w:val="00975910"/>
    <w:rsid w:val="00976117"/>
    <w:rsid w:val="009763C2"/>
    <w:rsid w:val="009766E4"/>
    <w:rsid w:val="00977149"/>
    <w:rsid w:val="00977B93"/>
    <w:rsid w:val="00977C11"/>
    <w:rsid w:val="00981CA2"/>
    <w:rsid w:val="0098245B"/>
    <w:rsid w:val="00982AAF"/>
    <w:rsid w:val="00983486"/>
    <w:rsid w:val="009841B0"/>
    <w:rsid w:val="0098421B"/>
    <w:rsid w:val="00984AB9"/>
    <w:rsid w:val="009861EF"/>
    <w:rsid w:val="00986D01"/>
    <w:rsid w:val="00987507"/>
    <w:rsid w:val="009875B9"/>
    <w:rsid w:val="00987A33"/>
    <w:rsid w:val="00990A4A"/>
    <w:rsid w:val="00990B6E"/>
    <w:rsid w:val="0099147F"/>
    <w:rsid w:val="00991962"/>
    <w:rsid w:val="00992860"/>
    <w:rsid w:val="009928A2"/>
    <w:rsid w:val="009933F2"/>
    <w:rsid w:val="00994050"/>
    <w:rsid w:val="009952BA"/>
    <w:rsid w:val="0099538C"/>
    <w:rsid w:val="0099563F"/>
    <w:rsid w:val="009963D6"/>
    <w:rsid w:val="00996500"/>
    <w:rsid w:val="00997285"/>
    <w:rsid w:val="009976C5"/>
    <w:rsid w:val="00997717"/>
    <w:rsid w:val="00997842"/>
    <w:rsid w:val="009A070E"/>
    <w:rsid w:val="009A0A37"/>
    <w:rsid w:val="009A10DB"/>
    <w:rsid w:val="009A197D"/>
    <w:rsid w:val="009A452F"/>
    <w:rsid w:val="009A4FD6"/>
    <w:rsid w:val="009A5B52"/>
    <w:rsid w:val="009A68EC"/>
    <w:rsid w:val="009A7A3B"/>
    <w:rsid w:val="009A7C68"/>
    <w:rsid w:val="009B0011"/>
    <w:rsid w:val="009B0745"/>
    <w:rsid w:val="009B0DC2"/>
    <w:rsid w:val="009B0FD4"/>
    <w:rsid w:val="009B13C1"/>
    <w:rsid w:val="009B253A"/>
    <w:rsid w:val="009B5913"/>
    <w:rsid w:val="009B7601"/>
    <w:rsid w:val="009B7884"/>
    <w:rsid w:val="009B7DE8"/>
    <w:rsid w:val="009C05C9"/>
    <w:rsid w:val="009C0C6A"/>
    <w:rsid w:val="009C0E44"/>
    <w:rsid w:val="009C3A3A"/>
    <w:rsid w:val="009C6EAD"/>
    <w:rsid w:val="009C701B"/>
    <w:rsid w:val="009C771E"/>
    <w:rsid w:val="009C789F"/>
    <w:rsid w:val="009D0813"/>
    <w:rsid w:val="009D174D"/>
    <w:rsid w:val="009D2312"/>
    <w:rsid w:val="009D2445"/>
    <w:rsid w:val="009D24BC"/>
    <w:rsid w:val="009D28E3"/>
    <w:rsid w:val="009D3046"/>
    <w:rsid w:val="009D3692"/>
    <w:rsid w:val="009D3A1C"/>
    <w:rsid w:val="009D4A22"/>
    <w:rsid w:val="009D66FC"/>
    <w:rsid w:val="009D6F1C"/>
    <w:rsid w:val="009D7240"/>
    <w:rsid w:val="009E001A"/>
    <w:rsid w:val="009E0F7D"/>
    <w:rsid w:val="009E3494"/>
    <w:rsid w:val="009E3498"/>
    <w:rsid w:val="009E3606"/>
    <w:rsid w:val="009E3A03"/>
    <w:rsid w:val="009E6630"/>
    <w:rsid w:val="009E6E64"/>
    <w:rsid w:val="009F06F1"/>
    <w:rsid w:val="009F08C7"/>
    <w:rsid w:val="009F1773"/>
    <w:rsid w:val="009F1CEA"/>
    <w:rsid w:val="009F2EC4"/>
    <w:rsid w:val="009F2F0F"/>
    <w:rsid w:val="009F3801"/>
    <w:rsid w:val="009F3C88"/>
    <w:rsid w:val="009F4017"/>
    <w:rsid w:val="009F58D2"/>
    <w:rsid w:val="009F64A8"/>
    <w:rsid w:val="00A00262"/>
    <w:rsid w:val="00A00788"/>
    <w:rsid w:val="00A00FA7"/>
    <w:rsid w:val="00A011E5"/>
    <w:rsid w:val="00A01E7B"/>
    <w:rsid w:val="00A02098"/>
    <w:rsid w:val="00A02E0F"/>
    <w:rsid w:val="00A03AD5"/>
    <w:rsid w:val="00A03BF0"/>
    <w:rsid w:val="00A03FA7"/>
    <w:rsid w:val="00A04774"/>
    <w:rsid w:val="00A04E43"/>
    <w:rsid w:val="00A04F84"/>
    <w:rsid w:val="00A04F9E"/>
    <w:rsid w:val="00A06496"/>
    <w:rsid w:val="00A07437"/>
    <w:rsid w:val="00A076F9"/>
    <w:rsid w:val="00A07FB8"/>
    <w:rsid w:val="00A103E5"/>
    <w:rsid w:val="00A1065F"/>
    <w:rsid w:val="00A132A7"/>
    <w:rsid w:val="00A13C0D"/>
    <w:rsid w:val="00A16810"/>
    <w:rsid w:val="00A179B7"/>
    <w:rsid w:val="00A20B55"/>
    <w:rsid w:val="00A20DEF"/>
    <w:rsid w:val="00A22252"/>
    <w:rsid w:val="00A22C9F"/>
    <w:rsid w:val="00A2339B"/>
    <w:rsid w:val="00A23414"/>
    <w:rsid w:val="00A24353"/>
    <w:rsid w:val="00A245C8"/>
    <w:rsid w:val="00A24788"/>
    <w:rsid w:val="00A24967"/>
    <w:rsid w:val="00A25276"/>
    <w:rsid w:val="00A26AFA"/>
    <w:rsid w:val="00A27536"/>
    <w:rsid w:val="00A27884"/>
    <w:rsid w:val="00A27E63"/>
    <w:rsid w:val="00A31DF5"/>
    <w:rsid w:val="00A31E37"/>
    <w:rsid w:val="00A322A6"/>
    <w:rsid w:val="00A322CF"/>
    <w:rsid w:val="00A323E8"/>
    <w:rsid w:val="00A352ED"/>
    <w:rsid w:val="00A35486"/>
    <w:rsid w:val="00A3625E"/>
    <w:rsid w:val="00A36349"/>
    <w:rsid w:val="00A3686A"/>
    <w:rsid w:val="00A36B39"/>
    <w:rsid w:val="00A4279C"/>
    <w:rsid w:val="00A42DF6"/>
    <w:rsid w:val="00A431CA"/>
    <w:rsid w:val="00A449CE"/>
    <w:rsid w:val="00A44D62"/>
    <w:rsid w:val="00A45826"/>
    <w:rsid w:val="00A45DA3"/>
    <w:rsid w:val="00A46BB8"/>
    <w:rsid w:val="00A472A5"/>
    <w:rsid w:val="00A47BE9"/>
    <w:rsid w:val="00A47D77"/>
    <w:rsid w:val="00A5081B"/>
    <w:rsid w:val="00A50A62"/>
    <w:rsid w:val="00A50DAD"/>
    <w:rsid w:val="00A50ECE"/>
    <w:rsid w:val="00A5123E"/>
    <w:rsid w:val="00A512F4"/>
    <w:rsid w:val="00A522CC"/>
    <w:rsid w:val="00A52489"/>
    <w:rsid w:val="00A52804"/>
    <w:rsid w:val="00A52A32"/>
    <w:rsid w:val="00A53B12"/>
    <w:rsid w:val="00A53BF0"/>
    <w:rsid w:val="00A558CC"/>
    <w:rsid w:val="00A558F3"/>
    <w:rsid w:val="00A563DD"/>
    <w:rsid w:val="00A5686E"/>
    <w:rsid w:val="00A57607"/>
    <w:rsid w:val="00A57DC1"/>
    <w:rsid w:val="00A6041C"/>
    <w:rsid w:val="00A606AD"/>
    <w:rsid w:val="00A60EED"/>
    <w:rsid w:val="00A61465"/>
    <w:rsid w:val="00A61E34"/>
    <w:rsid w:val="00A62405"/>
    <w:rsid w:val="00A6338C"/>
    <w:rsid w:val="00A63D96"/>
    <w:rsid w:val="00A661D0"/>
    <w:rsid w:val="00A674DA"/>
    <w:rsid w:val="00A738B5"/>
    <w:rsid w:val="00A738FC"/>
    <w:rsid w:val="00A778C2"/>
    <w:rsid w:val="00A805E9"/>
    <w:rsid w:val="00A80B3E"/>
    <w:rsid w:val="00A814AC"/>
    <w:rsid w:val="00A82CC5"/>
    <w:rsid w:val="00A82E51"/>
    <w:rsid w:val="00A82EDD"/>
    <w:rsid w:val="00A831C8"/>
    <w:rsid w:val="00A83438"/>
    <w:rsid w:val="00A8383C"/>
    <w:rsid w:val="00A8387F"/>
    <w:rsid w:val="00A83884"/>
    <w:rsid w:val="00A85144"/>
    <w:rsid w:val="00A85404"/>
    <w:rsid w:val="00A85865"/>
    <w:rsid w:val="00A85E9E"/>
    <w:rsid w:val="00A86CE2"/>
    <w:rsid w:val="00A86E59"/>
    <w:rsid w:val="00A877E5"/>
    <w:rsid w:val="00A924EB"/>
    <w:rsid w:val="00A92C24"/>
    <w:rsid w:val="00A95CBF"/>
    <w:rsid w:val="00A96AA1"/>
    <w:rsid w:val="00AA0A4C"/>
    <w:rsid w:val="00AA1174"/>
    <w:rsid w:val="00AA1E70"/>
    <w:rsid w:val="00AA248F"/>
    <w:rsid w:val="00AA337D"/>
    <w:rsid w:val="00AA33E4"/>
    <w:rsid w:val="00AA3ABF"/>
    <w:rsid w:val="00AA4072"/>
    <w:rsid w:val="00AA450A"/>
    <w:rsid w:val="00AA4806"/>
    <w:rsid w:val="00AA494B"/>
    <w:rsid w:val="00AA51DF"/>
    <w:rsid w:val="00AA582F"/>
    <w:rsid w:val="00AB031E"/>
    <w:rsid w:val="00AB09B8"/>
    <w:rsid w:val="00AB0E80"/>
    <w:rsid w:val="00AB1AB0"/>
    <w:rsid w:val="00AB1EDA"/>
    <w:rsid w:val="00AB2292"/>
    <w:rsid w:val="00AB2C81"/>
    <w:rsid w:val="00AB3029"/>
    <w:rsid w:val="00AB4227"/>
    <w:rsid w:val="00AB5D01"/>
    <w:rsid w:val="00AB667F"/>
    <w:rsid w:val="00AB772E"/>
    <w:rsid w:val="00AB7F12"/>
    <w:rsid w:val="00AC0034"/>
    <w:rsid w:val="00AC106C"/>
    <w:rsid w:val="00AC1FA1"/>
    <w:rsid w:val="00AC2328"/>
    <w:rsid w:val="00AC2F0D"/>
    <w:rsid w:val="00AC3106"/>
    <w:rsid w:val="00AC3EE4"/>
    <w:rsid w:val="00AC3FB5"/>
    <w:rsid w:val="00AC5EC1"/>
    <w:rsid w:val="00AC5F6E"/>
    <w:rsid w:val="00AC6943"/>
    <w:rsid w:val="00AC73FE"/>
    <w:rsid w:val="00AC76DA"/>
    <w:rsid w:val="00AD0A79"/>
    <w:rsid w:val="00AD1C75"/>
    <w:rsid w:val="00AD1DCF"/>
    <w:rsid w:val="00AD20B0"/>
    <w:rsid w:val="00AD2160"/>
    <w:rsid w:val="00AD2A7E"/>
    <w:rsid w:val="00AD3246"/>
    <w:rsid w:val="00AD37AA"/>
    <w:rsid w:val="00AD503D"/>
    <w:rsid w:val="00AD622F"/>
    <w:rsid w:val="00AE00AF"/>
    <w:rsid w:val="00AE0282"/>
    <w:rsid w:val="00AE1C0F"/>
    <w:rsid w:val="00AE205D"/>
    <w:rsid w:val="00AE3BA8"/>
    <w:rsid w:val="00AE4266"/>
    <w:rsid w:val="00AE497F"/>
    <w:rsid w:val="00AE5080"/>
    <w:rsid w:val="00AE691B"/>
    <w:rsid w:val="00AE7836"/>
    <w:rsid w:val="00AF0812"/>
    <w:rsid w:val="00AF09C1"/>
    <w:rsid w:val="00AF0F15"/>
    <w:rsid w:val="00AF11C8"/>
    <w:rsid w:val="00AF2A8B"/>
    <w:rsid w:val="00AF3F7F"/>
    <w:rsid w:val="00AF4968"/>
    <w:rsid w:val="00AF73A3"/>
    <w:rsid w:val="00B02489"/>
    <w:rsid w:val="00B02A42"/>
    <w:rsid w:val="00B036DD"/>
    <w:rsid w:val="00B03921"/>
    <w:rsid w:val="00B03AA2"/>
    <w:rsid w:val="00B03F40"/>
    <w:rsid w:val="00B053BD"/>
    <w:rsid w:val="00B06509"/>
    <w:rsid w:val="00B06A13"/>
    <w:rsid w:val="00B121F0"/>
    <w:rsid w:val="00B124EF"/>
    <w:rsid w:val="00B12BDA"/>
    <w:rsid w:val="00B12D21"/>
    <w:rsid w:val="00B12D45"/>
    <w:rsid w:val="00B12DD2"/>
    <w:rsid w:val="00B13438"/>
    <w:rsid w:val="00B14137"/>
    <w:rsid w:val="00B14592"/>
    <w:rsid w:val="00B14EB2"/>
    <w:rsid w:val="00B17014"/>
    <w:rsid w:val="00B20740"/>
    <w:rsid w:val="00B214BD"/>
    <w:rsid w:val="00B22517"/>
    <w:rsid w:val="00B231BD"/>
    <w:rsid w:val="00B24C93"/>
    <w:rsid w:val="00B26018"/>
    <w:rsid w:val="00B262BC"/>
    <w:rsid w:val="00B27250"/>
    <w:rsid w:val="00B307A9"/>
    <w:rsid w:val="00B308ED"/>
    <w:rsid w:val="00B31085"/>
    <w:rsid w:val="00B31C57"/>
    <w:rsid w:val="00B32FED"/>
    <w:rsid w:val="00B33089"/>
    <w:rsid w:val="00B331B3"/>
    <w:rsid w:val="00B340FA"/>
    <w:rsid w:val="00B355F3"/>
    <w:rsid w:val="00B358D2"/>
    <w:rsid w:val="00B358E7"/>
    <w:rsid w:val="00B36C1D"/>
    <w:rsid w:val="00B401D1"/>
    <w:rsid w:val="00B4222A"/>
    <w:rsid w:val="00B43F76"/>
    <w:rsid w:val="00B445DE"/>
    <w:rsid w:val="00B50E31"/>
    <w:rsid w:val="00B512AB"/>
    <w:rsid w:val="00B531DF"/>
    <w:rsid w:val="00B5458C"/>
    <w:rsid w:val="00B551B4"/>
    <w:rsid w:val="00B554A9"/>
    <w:rsid w:val="00B555A1"/>
    <w:rsid w:val="00B570EE"/>
    <w:rsid w:val="00B57210"/>
    <w:rsid w:val="00B61657"/>
    <w:rsid w:val="00B61881"/>
    <w:rsid w:val="00B63172"/>
    <w:rsid w:val="00B63BC6"/>
    <w:rsid w:val="00B63FBA"/>
    <w:rsid w:val="00B642FD"/>
    <w:rsid w:val="00B649A6"/>
    <w:rsid w:val="00B64ADE"/>
    <w:rsid w:val="00B64E59"/>
    <w:rsid w:val="00B65376"/>
    <w:rsid w:val="00B65FF8"/>
    <w:rsid w:val="00B66CF6"/>
    <w:rsid w:val="00B66E71"/>
    <w:rsid w:val="00B677A6"/>
    <w:rsid w:val="00B7078B"/>
    <w:rsid w:val="00B711D1"/>
    <w:rsid w:val="00B71C21"/>
    <w:rsid w:val="00B7296A"/>
    <w:rsid w:val="00B7321B"/>
    <w:rsid w:val="00B739F9"/>
    <w:rsid w:val="00B7455A"/>
    <w:rsid w:val="00B779E1"/>
    <w:rsid w:val="00B8004F"/>
    <w:rsid w:val="00B80463"/>
    <w:rsid w:val="00B804B3"/>
    <w:rsid w:val="00B80CA9"/>
    <w:rsid w:val="00B80D1A"/>
    <w:rsid w:val="00B839CB"/>
    <w:rsid w:val="00B853A5"/>
    <w:rsid w:val="00B86C81"/>
    <w:rsid w:val="00B870B7"/>
    <w:rsid w:val="00B870C8"/>
    <w:rsid w:val="00B87402"/>
    <w:rsid w:val="00B8753B"/>
    <w:rsid w:val="00B9029B"/>
    <w:rsid w:val="00B9144F"/>
    <w:rsid w:val="00B91B67"/>
    <w:rsid w:val="00B91F79"/>
    <w:rsid w:val="00B94A88"/>
    <w:rsid w:val="00B950B0"/>
    <w:rsid w:val="00B95EC2"/>
    <w:rsid w:val="00B974D7"/>
    <w:rsid w:val="00B97ACD"/>
    <w:rsid w:val="00BA0EE5"/>
    <w:rsid w:val="00BA1179"/>
    <w:rsid w:val="00BA2538"/>
    <w:rsid w:val="00BA2F7C"/>
    <w:rsid w:val="00BA30E6"/>
    <w:rsid w:val="00BA3101"/>
    <w:rsid w:val="00BA381E"/>
    <w:rsid w:val="00BA3905"/>
    <w:rsid w:val="00BA4528"/>
    <w:rsid w:val="00BA4558"/>
    <w:rsid w:val="00BA4F07"/>
    <w:rsid w:val="00BA50BD"/>
    <w:rsid w:val="00BA6958"/>
    <w:rsid w:val="00BA6D71"/>
    <w:rsid w:val="00BA6F39"/>
    <w:rsid w:val="00BB143B"/>
    <w:rsid w:val="00BB1777"/>
    <w:rsid w:val="00BB2B6A"/>
    <w:rsid w:val="00BB3960"/>
    <w:rsid w:val="00BB4722"/>
    <w:rsid w:val="00BB4A87"/>
    <w:rsid w:val="00BB5EB6"/>
    <w:rsid w:val="00BB6C23"/>
    <w:rsid w:val="00BB77FC"/>
    <w:rsid w:val="00BB7DC6"/>
    <w:rsid w:val="00BC009C"/>
    <w:rsid w:val="00BC0210"/>
    <w:rsid w:val="00BC043F"/>
    <w:rsid w:val="00BC1C0B"/>
    <w:rsid w:val="00BC1E37"/>
    <w:rsid w:val="00BC2237"/>
    <w:rsid w:val="00BC271C"/>
    <w:rsid w:val="00BC272C"/>
    <w:rsid w:val="00BC2A3E"/>
    <w:rsid w:val="00BC3BFF"/>
    <w:rsid w:val="00BC3F0E"/>
    <w:rsid w:val="00BC4B14"/>
    <w:rsid w:val="00BC5A68"/>
    <w:rsid w:val="00BC5E32"/>
    <w:rsid w:val="00BC6106"/>
    <w:rsid w:val="00BC6927"/>
    <w:rsid w:val="00BC6E93"/>
    <w:rsid w:val="00BC7272"/>
    <w:rsid w:val="00BC7453"/>
    <w:rsid w:val="00BD0654"/>
    <w:rsid w:val="00BD0D8C"/>
    <w:rsid w:val="00BD117E"/>
    <w:rsid w:val="00BD1E48"/>
    <w:rsid w:val="00BD2928"/>
    <w:rsid w:val="00BD4193"/>
    <w:rsid w:val="00BD6077"/>
    <w:rsid w:val="00BD62BA"/>
    <w:rsid w:val="00BD712D"/>
    <w:rsid w:val="00BD7511"/>
    <w:rsid w:val="00BE0214"/>
    <w:rsid w:val="00BE07B6"/>
    <w:rsid w:val="00BE0833"/>
    <w:rsid w:val="00BE0A3D"/>
    <w:rsid w:val="00BE17E9"/>
    <w:rsid w:val="00BE2752"/>
    <w:rsid w:val="00BE3053"/>
    <w:rsid w:val="00BE3191"/>
    <w:rsid w:val="00BE3221"/>
    <w:rsid w:val="00BE3CE2"/>
    <w:rsid w:val="00BE43CD"/>
    <w:rsid w:val="00BE4617"/>
    <w:rsid w:val="00BE53EB"/>
    <w:rsid w:val="00BE585B"/>
    <w:rsid w:val="00BE5B7E"/>
    <w:rsid w:val="00BE68CF"/>
    <w:rsid w:val="00BE6F3F"/>
    <w:rsid w:val="00BF00E8"/>
    <w:rsid w:val="00BF04F3"/>
    <w:rsid w:val="00BF057C"/>
    <w:rsid w:val="00BF0F85"/>
    <w:rsid w:val="00BF1CDD"/>
    <w:rsid w:val="00BF259A"/>
    <w:rsid w:val="00BF306C"/>
    <w:rsid w:val="00BF33F5"/>
    <w:rsid w:val="00BF34EF"/>
    <w:rsid w:val="00BF36B5"/>
    <w:rsid w:val="00BF4735"/>
    <w:rsid w:val="00BF485E"/>
    <w:rsid w:val="00BF4C75"/>
    <w:rsid w:val="00BF60B0"/>
    <w:rsid w:val="00BF6358"/>
    <w:rsid w:val="00BF65E7"/>
    <w:rsid w:val="00BF6808"/>
    <w:rsid w:val="00BF75F4"/>
    <w:rsid w:val="00BF7A45"/>
    <w:rsid w:val="00BF7CF0"/>
    <w:rsid w:val="00BF7E91"/>
    <w:rsid w:val="00C00F38"/>
    <w:rsid w:val="00C017B9"/>
    <w:rsid w:val="00C01B89"/>
    <w:rsid w:val="00C01B97"/>
    <w:rsid w:val="00C024ED"/>
    <w:rsid w:val="00C02527"/>
    <w:rsid w:val="00C02720"/>
    <w:rsid w:val="00C02732"/>
    <w:rsid w:val="00C02FE3"/>
    <w:rsid w:val="00C0358A"/>
    <w:rsid w:val="00C0358B"/>
    <w:rsid w:val="00C04339"/>
    <w:rsid w:val="00C066B7"/>
    <w:rsid w:val="00C06EF1"/>
    <w:rsid w:val="00C06F69"/>
    <w:rsid w:val="00C078FC"/>
    <w:rsid w:val="00C1034A"/>
    <w:rsid w:val="00C105B3"/>
    <w:rsid w:val="00C10A04"/>
    <w:rsid w:val="00C10E5A"/>
    <w:rsid w:val="00C119B1"/>
    <w:rsid w:val="00C12449"/>
    <w:rsid w:val="00C137CD"/>
    <w:rsid w:val="00C14C4F"/>
    <w:rsid w:val="00C15C2D"/>
    <w:rsid w:val="00C16568"/>
    <w:rsid w:val="00C16A26"/>
    <w:rsid w:val="00C170FD"/>
    <w:rsid w:val="00C1732E"/>
    <w:rsid w:val="00C20464"/>
    <w:rsid w:val="00C2052A"/>
    <w:rsid w:val="00C228E2"/>
    <w:rsid w:val="00C22B1E"/>
    <w:rsid w:val="00C24061"/>
    <w:rsid w:val="00C25A82"/>
    <w:rsid w:val="00C26788"/>
    <w:rsid w:val="00C26C66"/>
    <w:rsid w:val="00C2742D"/>
    <w:rsid w:val="00C27D56"/>
    <w:rsid w:val="00C30FFC"/>
    <w:rsid w:val="00C312EE"/>
    <w:rsid w:val="00C3375D"/>
    <w:rsid w:val="00C3418B"/>
    <w:rsid w:val="00C343C0"/>
    <w:rsid w:val="00C35C41"/>
    <w:rsid w:val="00C35F37"/>
    <w:rsid w:val="00C3681D"/>
    <w:rsid w:val="00C37DDD"/>
    <w:rsid w:val="00C42889"/>
    <w:rsid w:val="00C433AF"/>
    <w:rsid w:val="00C43F28"/>
    <w:rsid w:val="00C43F7E"/>
    <w:rsid w:val="00C44118"/>
    <w:rsid w:val="00C45C50"/>
    <w:rsid w:val="00C46137"/>
    <w:rsid w:val="00C46E3C"/>
    <w:rsid w:val="00C46EF2"/>
    <w:rsid w:val="00C507DE"/>
    <w:rsid w:val="00C51754"/>
    <w:rsid w:val="00C51E71"/>
    <w:rsid w:val="00C5288B"/>
    <w:rsid w:val="00C530A1"/>
    <w:rsid w:val="00C53CDF"/>
    <w:rsid w:val="00C54808"/>
    <w:rsid w:val="00C54A46"/>
    <w:rsid w:val="00C554F2"/>
    <w:rsid w:val="00C560E3"/>
    <w:rsid w:val="00C56A6A"/>
    <w:rsid w:val="00C56CA4"/>
    <w:rsid w:val="00C574E8"/>
    <w:rsid w:val="00C57861"/>
    <w:rsid w:val="00C600A4"/>
    <w:rsid w:val="00C60807"/>
    <w:rsid w:val="00C61555"/>
    <w:rsid w:val="00C61F3A"/>
    <w:rsid w:val="00C63694"/>
    <w:rsid w:val="00C657B4"/>
    <w:rsid w:val="00C659C7"/>
    <w:rsid w:val="00C70454"/>
    <w:rsid w:val="00C70987"/>
    <w:rsid w:val="00C71031"/>
    <w:rsid w:val="00C7154F"/>
    <w:rsid w:val="00C71AB1"/>
    <w:rsid w:val="00C71F3B"/>
    <w:rsid w:val="00C7217B"/>
    <w:rsid w:val="00C72686"/>
    <w:rsid w:val="00C726D1"/>
    <w:rsid w:val="00C72FA6"/>
    <w:rsid w:val="00C73A1F"/>
    <w:rsid w:val="00C73EE6"/>
    <w:rsid w:val="00C747B4"/>
    <w:rsid w:val="00C74C57"/>
    <w:rsid w:val="00C75D58"/>
    <w:rsid w:val="00C7767D"/>
    <w:rsid w:val="00C80A15"/>
    <w:rsid w:val="00C80A6F"/>
    <w:rsid w:val="00C816F8"/>
    <w:rsid w:val="00C83B48"/>
    <w:rsid w:val="00C84F63"/>
    <w:rsid w:val="00C8667A"/>
    <w:rsid w:val="00C86CB4"/>
    <w:rsid w:val="00C90092"/>
    <w:rsid w:val="00C913E4"/>
    <w:rsid w:val="00C9238B"/>
    <w:rsid w:val="00C928E6"/>
    <w:rsid w:val="00C92C86"/>
    <w:rsid w:val="00C932AB"/>
    <w:rsid w:val="00C938A4"/>
    <w:rsid w:val="00C93AC0"/>
    <w:rsid w:val="00C94D13"/>
    <w:rsid w:val="00C951FB"/>
    <w:rsid w:val="00C9530D"/>
    <w:rsid w:val="00C955DA"/>
    <w:rsid w:val="00C9592B"/>
    <w:rsid w:val="00C95B16"/>
    <w:rsid w:val="00C96107"/>
    <w:rsid w:val="00C96376"/>
    <w:rsid w:val="00C97516"/>
    <w:rsid w:val="00C97D81"/>
    <w:rsid w:val="00C97D98"/>
    <w:rsid w:val="00CA2D1B"/>
    <w:rsid w:val="00CA431B"/>
    <w:rsid w:val="00CA52CF"/>
    <w:rsid w:val="00CA54CA"/>
    <w:rsid w:val="00CA5CFE"/>
    <w:rsid w:val="00CA67A6"/>
    <w:rsid w:val="00CA6851"/>
    <w:rsid w:val="00CA7728"/>
    <w:rsid w:val="00CB03F6"/>
    <w:rsid w:val="00CB091B"/>
    <w:rsid w:val="00CB0F44"/>
    <w:rsid w:val="00CB10CC"/>
    <w:rsid w:val="00CB1785"/>
    <w:rsid w:val="00CB1DD4"/>
    <w:rsid w:val="00CB39DD"/>
    <w:rsid w:val="00CB3D59"/>
    <w:rsid w:val="00CB4A4B"/>
    <w:rsid w:val="00CB5D1E"/>
    <w:rsid w:val="00CB649A"/>
    <w:rsid w:val="00CB7256"/>
    <w:rsid w:val="00CB773C"/>
    <w:rsid w:val="00CB792A"/>
    <w:rsid w:val="00CC0055"/>
    <w:rsid w:val="00CC0777"/>
    <w:rsid w:val="00CC1D88"/>
    <w:rsid w:val="00CC26F3"/>
    <w:rsid w:val="00CC2E91"/>
    <w:rsid w:val="00CC3922"/>
    <w:rsid w:val="00CC3B50"/>
    <w:rsid w:val="00CC3C6D"/>
    <w:rsid w:val="00CC3FD7"/>
    <w:rsid w:val="00CC4247"/>
    <w:rsid w:val="00CC47D5"/>
    <w:rsid w:val="00CC4EB7"/>
    <w:rsid w:val="00CC5A7A"/>
    <w:rsid w:val="00CC6667"/>
    <w:rsid w:val="00CC6881"/>
    <w:rsid w:val="00CC6AD7"/>
    <w:rsid w:val="00CC74A3"/>
    <w:rsid w:val="00CC7B15"/>
    <w:rsid w:val="00CC7D21"/>
    <w:rsid w:val="00CD05AE"/>
    <w:rsid w:val="00CD0EB7"/>
    <w:rsid w:val="00CD2F32"/>
    <w:rsid w:val="00CD33AD"/>
    <w:rsid w:val="00CD34C7"/>
    <w:rsid w:val="00CD3AB8"/>
    <w:rsid w:val="00CD3BE4"/>
    <w:rsid w:val="00CD60E1"/>
    <w:rsid w:val="00CD6395"/>
    <w:rsid w:val="00CD6C1F"/>
    <w:rsid w:val="00CD73AE"/>
    <w:rsid w:val="00CD7AD3"/>
    <w:rsid w:val="00CE0005"/>
    <w:rsid w:val="00CE1534"/>
    <w:rsid w:val="00CE1944"/>
    <w:rsid w:val="00CE1F5E"/>
    <w:rsid w:val="00CE2C3A"/>
    <w:rsid w:val="00CE46DC"/>
    <w:rsid w:val="00CE4C46"/>
    <w:rsid w:val="00CE50FC"/>
    <w:rsid w:val="00CE5535"/>
    <w:rsid w:val="00CE61D2"/>
    <w:rsid w:val="00CE69FA"/>
    <w:rsid w:val="00CF077A"/>
    <w:rsid w:val="00CF0E79"/>
    <w:rsid w:val="00CF1C70"/>
    <w:rsid w:val="00CF22D2"/>
    <w:rsid w:val="00CF2E96"/>
    <w:rsid w:val="00CF4864"/>
    <w:rsid w:val="00CF58DF"/>
    <w:rsid w:val="00CF5FB6"/>
    <w:rsid w:val="00CF6046"/>
    <w:rsid w:val="00CF617A"/>
    <w:rsid w:val="00CF6190"/>
    <w:rsid w:val="00CF6FC4"/>
    <w:rsid w:val="00CF71D9"/>
    <w:rsid w:val="00D0101A"/>
    <w:rsid w:val="00D0140F"/>
    <w:rsid w:val="00D019A9"/>
    <w:rsid w:val="00D02276"/>
    <w:rsid w:val="00D02521"/>
    <w:rsid w:val="00D0364F"/>
    <w:rsid w:val="00D05995"/>
    <w:rsid w:val="00D064CD"/>
    <w:rsid w:val="00D06A5D"/>
    <w:rsid w:val="00D07904"/>
    <w:rsid w:val="00D07B53"/>
    <w:rsid w:val="00D106BE"/>
    <w:rsid w:val="00D1232D"/>
    <w:rsid w:val="00D12A38"/>
    <w:rsid w:val="00D130D5"/>
    <w:rsid w:val="00D13AB1"/>
    <w:rsid w:val="00D15208"/>
    <w:rsid w:val="00D156E9"/>
    <w:rsid w:val="00D15A64"/>
    <w:rsid w:val="00D15F9A"/>
    <w:rsid w:val="00D172A2"/>
    <w:rsid w:val="00D1765C"/>
    <w:rsid w:val="00D20430"/>
    <w:rsid w:val="00D206D5"/>
    <w:rsid w:val="00D21D36"/>
    <w:rsid w:val="00D220BD"/>
    <w:rsid w:val="00D23314"/>
    <w:rsid w:val="00D23321"/>
    <w:rsid w:val="00D23EA5"/>
    <w:rsid w:val="00D23EDF"/>
    <w:rsid w:val="00D2408F"/>
    <w:rsid w:val="00D259E9"/>
    <w:rsid w:val="00D26B52"/>
    <w:rsid w:val="00D27570"/>
    <w:rsid w:val="00D27F19"/>
    <w:rsid w:val="00D30348"/>
    <w:rsid w:val="00D30A4B"/>
    <w:rsid w:val="00D30E7C"/>
    <w:rsid w:val="00D32EDC"/>
    <w:rsid w:val="00D34225"/>
    <w:rsid w:val="00D34C43"/>
    <w:rsid w:val="00D362C6"/>
    <w:rsid w:val="00D36A70"/>
    <w:rsid w:val="00D378FD"/>
    <w:rsid w:val="00D37AE4"/>
    <w:rsid w:val="00D401C6"/>
    <w:rsid w:val="00D401FD"/>
    <w:rsid w:val="00D40A82"/>
    <w:rsid w:val="00D415F5"/>
    <w:rsid w:val="00D41DC3"/>
    <w:rsid w:val="00D42538"/>
    <w:rsid w:val="00D42BB8"/>
    <w:rsid w:val="00D42E88"/>
    <w:rsid w:val="00D44271"/>
    <w:rsid w:val="00D46E17"/>
    <w:rsid w:val="00D506CB"/>
    <w:rsid w:val="00D50994"/>
    <w:rsid w:val="00D5100A"/>
    <w:rsid w:val="00D515D3"/>
    <w:rsid w:val="00D51676"/>
    <w:rsid w:val="00D51916"/>
    <w:rsid w:val="00D51A49"/>
    <w:rsid w:val="00D51AD2"/>
    <w:rsid w:val="00D51E90"/>
    <w:rsid w:val="00D5215E"/>
    <w:rsid w:val="00D52B34"/>
    <w:rsid w:val="00D5306C"/>
    <w:rsid w:val="00D530AC"/>
    <w:rsid w:val="00D53767"/>
    <w:rsid w:val="00D53B12"/>
    <w:rsid w:val="00D542B4"/>
    <w:rsid w:val="00D5449B"/>
    <w:rsid w:val="00D54817"/>
    <w:rsid w:val="00D54F6C"/>
    <w:rsid w:val="00D554A0"/>
    <w:rsid w:val="00D55D4F"/>
    <w:rsid w:val="00D55E29"/>
    <w:rsid w:val="00D565C2"/>
    <w:rsid w:val="00D56A4B"/>
    <w:rsid w:val="00D57CEF"/>
    <w:rsid w:val="00D57E64"/>
    <w:rsid w:val="00D61676"/>
    <w:rsid w:val="00D61A01"/>
    <w:rsid w:val="00D62128"/>
    <w:rsid w:val="00D6263D"/>
    <w:rsid w:val="00D631D6"/>
    <w:rsid w:val="00D6328F"/>
    <w:rsid w:val="00D63871"/>
    <w:rsid w:val="00D64653"/>
    <w:rsid w:val="00D646F7"/>
    <w:rsid w:val="00D649C4"/>
    <w:rsid w:val="00D64A00"/>
    <w:rsid w:val="00D64A16"/>
    <w:rsid w:val="00D64C03"/>
    <w:rsid w:val="00D65FD0"/>
    <w:rsid w:val="00D66A29"/>
    <w:rsid w:val="00D67640"/>
    <w:rsid w:val="00D716CC"/>
    <w:rsid w:val="00D7352C"/>
    <w:rsid w:val="00D73801"/>
    <w:rsid w:val="00D74B24"/>
    <w:rsid w:val="00D75C90"/>
    <w:rsid w:val="00D762A3"/>
    <w:rsid w:val="00D762ED"/>
    <w:rsid w:val="00D77F53"/>
    <w:rsid w:val="00D80097"/>
    <w:rsid w:val="00D81C9D"/>
    <w:rsid w:val="00D81E8E"/>
    <w:rsid w:val="00D828A4"/>
    <w:rsid w:val="00D82943"/>
    <w:rsid w:val="00D83A0D"/>
    <w:rsid w:val="00D8455A"/>
    <w:rsid w:val="00D84D44"/>
    <w:rsid w:val="00D86320"/>
    <w:rsid w:val="00D863C8"/>
    <w:rsid w:val="00D8684E"/>
    <w:rsid w:val="00D87028"/>
    <w:rsid w:val="00D916B1"/>
    <w:rsid w:val="00D92C17"/>
    <w:rsid w:val="00D93873"/>
    <w:rsid w:val="00D93CF2"/>
    <w:rsid w:val="00D942A1"/>
    <w:rsid w:val="00D96153"/>
    <w:rsid w:val="00D965CE"/>
    <w:rsid w:val="00D966CF"/>
    <w:rsid w:val="00D96D9F"/>
    <w:rsid w:val="00DA00D1"/>
    <w:rsid w:val="00DA10EE"/>
    <w:rsid w:val="00DA1677"/>
    <w:rsid w:val="00DA28F0"/>
    <w:rsid w:val="00DA3130"/>
    <w:rsid w:val="00DA3BE7"/>
    <w:rsid w:val="00DA51B1"/>
    <w:rsid w:val="00DA5FDB"/>
    <w:rsid w:val="00DA6840"/>
    <w:rsid w:val="00DA7109"/>
    <w:rsid w:val="00DA7D47"/>
    <w:rsid w:val="00DA7F75"/>
    <w:rsid w:val="00DB2D94"/>
    <w:rsid w:val="00DB39C0"/>
    <w:rsid w:val="00DB4B29"/>
    <w:rsid w:val="00DB5C54"/>
    <w:rsid w:val="00DB63B3"/>
    <w:rsid w:val="00DB6DBF"/>
    <w:rsid w:val="00DB6F4C"/>
    <w:rsid w:val="00DB7F3F"/>
    <w:rsid w:val="00DC1223"/>
    <w:rsid w:val="00DC1EF6"/>
    <w:rsid w:val="00DC1FAD"/>
    <w:rsid w:val="00DC39E2"/>
    <w:rsid w:val="00DC45DE"/>
    <w:rsid w:val="00DC4A16"/>
    <w:rsid w:val="00DC5A28"/>
    <w:rsid w:val="00DC5B0A"/>
    <w:rsid w:val="00DC6F91"/>
    <w:rsid w:val="00DD00CE"/>
    <w:rsid w:val="00DD0FB1"/>
    <w:rsid w:val="00DD16B9"/>
    <w:rsid w:val="00DD1B9C"/>
    <w:rsid w:val="00DD2CA7"/>
    <w:rsid w:val="00DD4123"/>
    <w:rsid w:val="00DD589B"/>
    <w:rsid w:val="00DD712A"/>
    <w:rsid w:val="00DD7560"/>
    <w:rsid w:val="00DD7684"/>
    <w:rsid w:val="00DD7AB1"/>
    <w:rsid w:val="00DE09FC"/>
    <w:rsid w:val="00DE0FFD"/>
    <w:rsid w:val="00DE22A0"/>
    <w:rsid w:val="00DE26AA"/>
    <w:rsid w:val="00DE2C92"/>
    <w:rsid w:val="00DE3A7A"/>
    <w:rsid w:val="00DE5718"/>
    <w:rsid w:val="00DE762B"/>
    <w:rsid w:val="00DE7AF9"/>
    <w:rsid w:val="00DF06C3"/>
    <w:rsid w:val="00DF0BCC"/>
    <w:rsid w:val="00DF266B"/>
    <w:rsid w:val="00DF36C1"/>
    <w:rsid w:val="00DF3A56"/>
    <w:rsid w:val="00DF4E8C"/>
    <w:rsid w:val="00DF546E"/>
    <w:rsid w:val="00DF59F1"/>
    <w:rsid w:val="00DF646D"/>
    <w:rsid w:val="00DF6E59"/>
    <w:rsid w:val="00DF7851"/>
    <w:rsid w:val="00E00CB0"/>
    <w:rsid w:val="00E017F7"/>
    <w:rsid w:val="00E01C90"/>
    <w:rsid w:val="00E026AF"/>
    <w:rsid w:val="00E02993"/>
    <w:rsid w:val="00E02A4C"/>
    <w:rsid w:val="00E032D4"/>
    <w:rsid w:val="00E03A78"/>
    <w:rsid w:val="00E03D7E"/>
    <w:rsid w:val="00E04D6C"/>
    <w:rsid w:val="00E05D56"/>
    <w:rsid w:val="00E07274"/>
    <w:rsid w:val="00E076F7"/>
    <w:rsid w:val="00E10129"/>
    <w:rsid w:val="00E106B8"/>
    <w:rsid w:val="00E117F6"/>
    <w:rsid w:val="00E12AB9"/>
    <w:rsid w:val="00E13114"/>
    <w:rsid w:val="00E132C8"/>
    <w:rsid w:val="00E138EA"/>
    <w:rsid w:val="00E1394E"/>
    <w:rsid w:val="00E14785"/>
    <w:rsid w:val="00E156BA"/>
    <w:rsid w:val="00E15B93"/>
    <w:rsid w:val="00E16EEF"/>
    <w:rsid w:val="00E17266"/>
    <w:rsid w:val="00E17C0B"/>
    <w:rsid w:val="00E21014"/>
    <w:rsid w:val="00E212D1"/>
    <w:rsid w:val="00E21767"/>
    <w:rsid w:val="00E219CA"/>
    <w:rsid w:val="00E21A40"/>
    <w:rsid w:val="00E22214"/>
    <w:rsid w:val="00E22264"/>
    <w:rsid w:val="00E23314"/>
    <w:rsid w:val="00E2349F"/>
    <w:rsid w:val="00E24004"/>
    <w:rsid w:val="00E249A5"/>
    <w:rsid w:val="00E25300"/>
    <w:rsid w:val="00E25FD7"/>
    <w:rsid w:val="00E27B66"/>
    <w:rsid w:val="00E27D86"/>
    <w:rsid w:val="00E31A80"/>
    <w:rsid w:val="00E325B5"/>
    <w:rsid w:val="00E32764"/>
    <w:rsid w:val="00E329DC"/>
    <w:rsid w:val="00E33371"/>
    <w:rsid w:val="00E344BB"/>
    <w:rsid w:val="00E34E71"/>
    <w:rsid w:val="00E35068"/>
    <w:rsid w:val="00E35C0B"/>
    <w:rsid w:val="00E36387"/>
    <w:rsid w:val="00E36F9A"/>
    <w:rsid w:val="00E42571"/>
    <w:rsid w:val="00E429F9"/>
    <w:rsid w:val="00E42DE0"/>
    <w:rsid w:val="00E42F4D"/>
    <w:rsid w:val="00E43331"/>
    <w:rsid w:val="00E43436"/>
    <w:rsid w:val="00E445A8"/>
    <w:rsid w:val="00E45111"/>
    <w:rsid w:val="00E4597D"/>
    <w:rsid w:val="00E46647"/>
    <w:rsid w:val="00E47369"/>
    <w:rsid w:val="00E47373"/>
    <w:rsid w:val="00E538D2"/>
    <w:rsid w:val="00E55000"/>
    <w:rsid w:val="00E55080"/>
    <w:rsid w:val="00E5586A"/>
    <w:rsid w:val="00E55DDA"/>
    <w:rsid w:val="00E56538"/>
    <w:rsid w:val="00E565FC"/>
    <w:rsid w:val="00E56CA1"/>
    <w:rsid w:val="00E576CC"/>
    <w:rsid w:val="00E5779C"/>
    <w:rsid w:val="00E60539"/>
    <w:rsid w:val="00E60788"/>
    <w:rsid w:val="00E6205E"/>
    <w:rsid w:val="00E62EFE"/>
    <w:rsid w:val="00E63339"/>
    <w:rsid w:val="00E63430"/>
    <w:rsid w:val="00E636D0"/>
    <w:rsid w:val="00E63770"/>
    <w:rsid w:val="00E63789"/>
    <w:rsid w:val="00E63E6A"/>
    <w:rsid w:val="00E63F2F"/>
    <w:rsid w:val="00E66C10"/>
    <w:rsid w:val="00E66C36"/>
    <w:rsid w:val="00E67019"/>
    <w:rsid w:val="00E67A20"/>
    <w:rsid w:val="00E67B29"/>
    <w:rsid w:val="00E70791"/>
    <w:rsid w:val="00E71B04"/>
    <w:rsid w:val="00E72BA8"/>
    <w:rsid w:val="00E7325C"/>
    <w:rsid w:val="00E738F6"/>
    <w:rsid w:val="00E73BE1"/>
    <w:rsid w:val="00E73D2C"/>
    <w:rsid w:val="00E761CB"/>
    <w:rsid w:val="00E762B0"/>
    <w:rsid w:val="00E77C4A"/>
    <w:rsid w:val="00E81CB4"/>
    <w:rsid w:val="00E8287D"/>
    <w:rsid w:val="00E831F3"/>
    <w:rsid w:val="00E83455"/>
    <w:rsid w:val="00E83E37"/>
    <w:rsid w:val="00E84CAD"/>
    <w:rsid w:val="00E85789"/>
    <w:rsid w:val="00E85976"/>
    <w:rsid w:val="00E86284"/>
    <w:rsid w:val="00E864F2"/>
    <w:rsid w:val="00E86730"/>
    <w:rsid w:val="00E91678"/>
    <w:rsid w:val="00E923D4"/>
    <w:rsid w:val="00E92DD1"/>
    <w:rsid w:val="00E932AF"/>
    <w:rsid w:val="00E94786"/>
    <w:rsid w:val="00E959FB"/>
    <w:rsid w:val="00EA04B9"/>
    <w:rsid w:val="00EA096C"/>
    <w:rsid w:val="00EA0B4B"/>
    <w:rsid w:val="00EA12C8"/>
    <w:rsid w:val="00EA1B56"/>
    <w:rsid w:val="00EA1B6D"/>
    <w:rsid w:val="00EA2483"/>
    <w:rsid w:val="00EA30FE"/>
    <w:rsid w:val="00EA3348"/>
    <w:rsid w:val="00EA3C12"/>
    <w:rsid w:val="00EA425A"/>
    <w:rsid w:val="00EA68B6"/>
    <w:rsid w:val="00EA6CA4"/>
    <w:rsid w:val="00EA7405"/>
    <w:rsid w:val="00EA751A"/>
    <w:rsid w:val="00EA763C"/>
    <w:rsid w:val="00EA7EC2"/>
    <w:rsid w:val="00EA7EDA"/>
    <w:rsid w:val="00EB061A"/>
    <w:rsid w:val="00EB086C"/>
    <w:rsid w:val="00EB1A51"/>
    <w:rsid w:val="00EB2B00"/>
    <w:rsid w:val="00EB2B73"/>
    <w:rsid w:val="00EB2C87"/>
    <w:rsid w:val="00EB2FCD"/>
    <w:rsid w:val="00EB3268"/>
    <w:rsid w:val="00EB3779"/>
    <w:rsid w:val="00EB3D50"/>
    <w:rsid w:val="00EC00B1"/>
    <w:rsid w:val="00EC0FD1"/>
    <w:rsid w:val="00EC11E3"/>
    <w:rsid w:val="00EC1698"/>
    <w:rsid w:val="00EC1A1E"/>
    <w:rsid w:val="00EC41D9"/>
    <w:rsid w:val="00EC5DB4"/>
    <w:rsid w:val="00EC5DF2"/>
    <w:rsid w:val="00EC78E4"/>
    <w:rsid w:val="00ED3137"/>
    <w:rsid w:val="00ED3FE9"/>
    <w:rsid w:val="00ED41CE"/>
    <w:rsid w:val="00ED4FD7"/>
    <w:rsid w:val="00ED7026"/>
    <w:rsid w:val="00EE1331"/>
    <w:rsid w:val="00EE1D3F"/>
    <w:rsid w:val="00EE277F"/>
    <w:rsid w:val="00EE2968"/>
    <w:rsid w:val="00EE2CC0"/>
    <w:rsid w:val="00EE2F6A"/>
    <w:rsid w:val="00EE3756"/>
    <w:rsid w:val="00EE3CF5"/>
    <w:rsid w:val="00EE4315"/>
    <w:rsid w:val="00EE43F5"/>
    <w:rsid w:val="00EE54D5"/>
    <w:rsid w:val="00EE5880"/>
    <w:rsid w:val="00EE6560"/>
    <w:rsid w:val="00EE72A4"/>
    <w:rsid w:val="00EE7559"/>
    <w:rsid w:val="00EE7E91"/>
    <w:rsid w:val="00EF0352"/>
    <w:rsid w:val="00EF0862"/>
    <w:rsid w:val="00EF1395"/>
    <w:rsid w:val="00EF146C"/>
    <w:rsid w:val="00EF1639"/>
    <w:rsid w:val="00EF393F"/>
    <w:rsid w:val="00EF4448"/>
    <w:rsid w:val="00EF5B6C"/>
    <w:rsid w:val="00EF6B95"/>
    <w:rsid w:val="00F0030C"/>
    <w:rsid w:val="00F011A9"/>
    <w:rsid w:val="00F0212E"/>
    <w:rsid w:val="00F02911"/>
    <w:rsid w:val="00F02D12"/>
    <w:rsid w:val="00F03290"/>
    <w:rsid w:val="00F03C8A"/>
    <w:rsid w:val="00F046D9"/>
    <w:rsid w:val="00F05192"/>
    <w:rsid w:val="00F05698"/>
    <w:rsid w:val="00F05A5A"/>
    <w:rsid w:val="00F07241"/>
    <w:rsid w:val="00F07312"/>
    <w:rsid w:val="00F10331"/>
    <w:rsid w:val="00F12CC8"/>
    <w:rsid w:val="00F13AF3"/>
    <w:rsid w:val="00F151E7"/>
    <w:rsid w:val="00F15297"/>
    <w:rsid w:val="00F17105"/>
    <w:rsid w:val="00F21B21"/>
    <w:rsid w:val="00F21FFD"/>
    <w:rsid w:val="00F23048"/>
    <w:rsid w:val="00F25A74"/>
    <w:rsid w:val="00F260BF"/>
    <w:rsid w:val="00F266C2"/>
    <w:rsid w:val="00F26A2A"/>
    <w:rsid w:val="00F26FEA"/>
    <w:rsid w:val="00F270F8"/>
    <w:rsid w:val="00F27B67"/>
    <w:rsid w:val="00F27C04"/>
    <w:rsid w:val="00F27D9F"/>
    <w:rsid w:val="00F30177"/>
    <w:rsid w:val="00F30383"/>
    <w:rsid w:val="00F305B4"/>
    <w:rsid w:val="00F30D93"/>
    <w:rsid w:val="00F315F4"/>
    <w:rsid w:val="00F31802"/>
    <w:rsid w:val="00F33205"/>
    <w:rsid w:val="00F33A9F"/>
    <w:rsid w:val="00F33D55"/>
    <w:rsid w:val="00F3538A"/>
    <w:rsid w:val="00F35464"/>
    <w:rsid w:val="00F35E90"/>
    <w:rsid w:val="00F360CD"/>
    <w:rsid w:val="00F3624A"/>
    <w:rsid w:val="00F36FDD"/>
    <w:rsid w:val="00F3764D"/>
    <w:rsid w:val="00F41357"/>
    <w:rsid w:val="00F42591"/>
    <w:rsid w:val="00F4315F"/>
    <w:rsid w:val="00F43599"/>
    <w:rsid w:val="00F475D6"/>
    <w:rsid w:val="00F476C1"/>
    <w:rsid w:val="00F50443"/>
    <w:rsid w:val="00F51E27"/>
    <w:rsid w:val="00F52844"/>
    <w:rsid w:val="00F53FED"/>
    <w:rsid w:val="00F543D3"/>
    <w:rsid w:val="00F55E12"/>
    <w:rsid w:val="00F55FE6"/>
    <w:rsid w:val="00F57664"/>
    <w:rsid w:val="00F57F90"/>
    <w:rsid w:val="00F6022A"/>
    <w:rsid w:val="00F6147B"/>
    <w:rsid w:val="00F61593"/>
    <w:rsid w:val="00F61B1C"/>
    <w:rsid w:val="00F61D60"/>
    <w:rsid w:val="00F62B7C"/>
    <w:rsid w:val="00F62D07"/>
    <w:rsid w:val="00F653F8"/>
    <w:rsid w:val="00F665E4"/>
    <w:rsid w:val="00F66809"/>
    <w:rsid w:val="00F67EC8"/>
    <w:rsid w:val="00F70313"/>
    <w:rsid w:val="00F70E76"/>
    <w:rsid w:val="00F72A03"/>
    <w:rsid w:val="00F739FC"/>
    <w:rsid w:val="00F758BF"/>
    <w:rsid w:val="00F76D64"/>
    <w:rsid w:val="00F8012D"/>
    <w:rsid w:val="00F81A6D"/>
    <w:rsid w:val="00F85FB7"/>
    <w:rsid w:val="00F861B4"/>
    <w:rsid w:val="00F87AEF"/>
    <w:rsid w:val="00F87F54"/>
    <w:rsid w:val="00F90747"/>
    <w:rsid w:val="00F91AB2"/>
    <w:rsid w:val="00F926CC"/>
    <w:rsid w:val="00F92FDD"/>
    <w:rsid w:val="00F960AF"/>
    <w:rsid w:val="00F971D8"/>
    <w:rsid w:val="00F97B3A"/>
    <w:rsid w:val="00FA157E"/>
    <w:rsid w:val="00FA33B3"/>
    <w:rsid w:val="00FA4F5B"/>
    <w:rsid w:val="00FA5EF0"/>
    <w:rsid w:val="00FA6AA7"/>
    <w:rsid w:val="00FA754C"/>
    <w:rsid w:val="00FA7FC0"/>
    <w:rsid w:val="00FB0023"/>
    <w:rsid w:val="00FB0367"/>
    <w:rsid w:val="00FB050E"/>
    <w:rsid w:val="00FB072D"/>
    <w:rsid w:val="00FB103F"/>
    <w:rsid w:val="00FB141A"/>
    <w:rsid w:val="00FB1932"/>
    <w:rsid w:val="00FB19DA"/>
    <w:rsid w:val="00FB22C8"/>
    <w:rsid w:val="00FB362D"/>
    <w:rsid w:val="00FB3E4C"/>
    <w:rsid w:val="00FB4AE3"/>
    <w:rsid w:val="00FB6A06"/>
    <w:rsid w:val="00FB6BB1"/>
    <w:rsid w:val="00FB78F3"/>
    <w:rsid w:val="00FB7E00"/>
    <w:rsid w:val="00FB7E4F"/>
    <w:rsid w:val="00FC0CD4"/>
    <w:rsid w:val="00FC1127"/>
    <w:rsid w:val="00FC15BE"/>
    <w:rsid w:val="00FC1C55"/>
    <w:rsid w:val="00FC2716"/>
    <w:rsid w:val="00FC2A01"/>
    <w:rsid w:val="00FC3876"/>
    <w:rsid w:val="00FC4391"/>
    <w:rsid w:val="00FC566D"/>
    <w:rsid w:val="00FC5BAB"/>
    <w:rsid w:val="00FC5D4F"/>
    <w:rsid w:val="00FC5FA5"/>
    <w:rsid w:val="00FC64C1"/>
    <w:rsid w:val="00FD04A8"/>
    <w:rsid w:val="00FD0C92"/>
    <w:rsid w:val="00FD1298"/>
    <w:rsid w:val="00FD1406"/>
    <w:rsid w:val="00FD3516"/>
    <w:rsid w:val="00FD41C1"/>
    <w:rsid w:val="00FD4FBB"/>
    <w:rsid w:val="00FD541F"/>
    <w:rsid w:val="00FD5A2A"/>
    <w:rsid w:val="00FD5E9B"/>
    <w:rsid w:val="00FD655D"/>
    <w:rsid w:val="00FD6BAA"/>
    <w:rsid w:val="00FD6F0D"/>
    <w:rsid w:val="00FD6F29"/>
    <w:rsid w:val="00FD73E5"/>
    <w:rsid w:val="00FE13D4"/>
    <w:rsid w:val="00FE17D6"/>
    <w:rsid w:val="00FE4F49"/>
    <w:rsid w:val="00FE53F6"/>
    <w:rsid w:val="00FE5A01"/>
    <w:rsid w:val="00FE6034"/>
    <w:rsid w:val="00FE6545"/>
    <w:rsid w:val="00FE69CA"/>
    <w:rsid w:val="00FE73FF"/>
    <w:rsid w:val="00FE7F89"/>
    <w:rsid w:val="00FF1A90"/>
    <w:rsid w:val="00FF2D44"/>
    <w:rsid w:val="00FF31F6"/>
    <w:rsid w:val="00FF34E7"/>
    <w:rsid w:val="00FF3B65"/>
    <w:rsid w:val="00FF4A77"/>
    <w:rsid w:val="00FF7505"/>
    <w:rsid w:val="302E71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3pt" color="#000000" dashstyle="1 1"/>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07"/>
    <w:autoRedefine/>
    <w:qFormat/>
    <w:uiPriority w:val="0"/>
    <w:pPr>
      <w:keepNext/>
      <w:spacing w:before="156" w:beforeLines="50" w:after="156" w:afterLines="50" w:line="360" w:lineRule="auto"/>
      <w:jc w:val="left"/>
      <w:outlineLvl w:val="0"/>
    </w:pPr>
    <w:rPr>
      <w:rFonts w:ascii="黑体" w:eastAsia="黑体"/>
      <w:color w:val="000000"/>
      <w:sz w:val="24"/>
      <w:szCs w:val="24"/>
    </w:rPr>
  </w:style>
  <w:style w:type="paragraph" w:styleId="3">
    <w:name w:val="heading 2"/>
    <w:basedOn w:val="1"/>
    <w:next w:val="1"/>
    <w:link w:val="108"/>
    <w:autoRedefine/>
    <w:qFormat/>
    <w:uiPriority w:val="0"/>
    <w:pPr>
      <w:keepNext/>
      <w:keepLines/>
      <w:tabs>
        <w:tab w:val="left" w:pos="567"/>
      </w:tabs>
      <w:snapToGrid w:val="0"/>
      <w:spacing w:line="360" w:lineRule="auto"/>
      <w:ind w:left="567" w:hanging="567"/>
      <w:jc w:val="left"/>
      <w:outlineLvl w:val="1"/>
    </w:pPr>
    <w:rPr>
      <w:rFonts w:ascii="宋体" w:hAnsi="宋体"/>
      <w:bCs/>
      <w:kern w:val="0"/>
      <w:sz w:val="24"/>
      <w:szCs w:val="24"/>
    </w:rPr>
  </w:style>
  <w:style w:type="paragraph" w:styleId="4">
    <w:name w:val="heading 3"/>
    <w:basedOn w:val="1"/>
    <w:next w:val="1"/>
    <w:link w:val="109"/>
    <w:qFormat/>
    <w:uiPriority w:val="0"/>
    <w:pPr>
      <w:keepNext/>
      <w:keepLines/>
      <w:spacing w:before="260" w:after="260" w:line="416" w:lineRule="auto"/>
      <w:outlineLvl w:val="2"/>
    </w:pPr>
    <w:rPr>
      <w:b/>
      <w:bCs/>
      <w:sz w:val="32"/>
      <w:szCs w:val="32"/>
    </w:rPr>
  </w:style>
  <w:style w:type="paragraph" w:styleId="5">
    <w:name w:val="heading 4"/>
    <w:basedOn w:val="1"/>
    <w:next w:val="1"/>
    <w:link w:val="106"/>
    <w:qFormat/>
    <w:uiPriority w:val="0"/>
    <w:pPr>
      <w:keepNext/>
      <w:keepLines/>
      <w:numPr>
        <w:ilvl w:val="3"/>
        <w:numId w:val="1"/>
      </w:numPr>
      <w:spacing w:before="280" w:after="290" w:line="376" w:lineRule="auto"/>
      <w:jc w:val="left"/>
      <w:outlineLvl w:val="3"/>
    </w:pPr>
    <w:rPr>
      <w:rFonts w:ascii="Arial" w:hAnsi="Arial" w:eastAsia="黑体"/>
      <w:bCs/>
      <w:sz w:val="24"/>
      <w:szCs w:val="28"/>
    </w:rPr>
  </w:style>
  <w:style w:type="paragraph" w:styleId="6">
    <w:name w:val="heading 8"/>
    <w:basedOn w:val="1"/>
    <w:next w:val="1"/>
    <w:link w:val="110"/>
    <w:qFormat/>
    <w:uiPriority w:val="0"/>
    <w:pPr>
      <w:keepNext/>
      <w:keepLines/>
      <w:spacing w:before="240" w:after="64" w:line="320" w:lineRule="auto"/>
      <w:outlineLvl w:val="7"/>
    </w:pPr>
    <w:rPr>
      <w:rFonts w:ascii="Arial" w:hAnsi="Arial" w:eastAsia="黑体"/>
      <w:sz w:val="28"/>
      <w:szCs w:val="24"/>
    </w:rPr>
  </w:style>
  <w:style w:type="paragraph" w:styleId="7">
    <w:name w:val="heading 9"/>
    <w:basedOn w:val="1"/>
    <w:next w:val="1"/>
    <w:link w:val="111"/>
    <w:qFormat/>
    <w:uiPriority w:val="0"/>
    <w:pPr>
      <w:keepNext/>
      <w:keepLines/>
      <w:spacing w:before="240" w:after="64" w:line="320" w:lineRule="auto"/>
      <w:outlineLvl w:val="8"/>
    </w:pPr>
    <w:rPr>
      <w:rFonts w:ascii="Arial" w:hAnsi="Arial" w:eastAsia="黑体"/>
      <w:szCs w:val="21"/>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unhideWhenUsed/>
    <w:qFormat/>
    <w:uiPriority w:val="39"/>
    <w:pPr>
      <w:ind w:left="2520" w:leftChars="1200"/>
    </w:pPr>
    <w:rPr>
      <w:rFonts w:ascii="等线" w:hAnsi="等线" w:eastAsia="等线"/>
      <w:szCs w:val="22"/>
    </w:rPr>
  </w:style>
  <w:style w:type="paragraph" w:styleId="9">
    <w:name w:val="Normal Indent"/>
    <w:basedOn w:val="1"/>
    <w:qFormat/>
    <w:uiPriority w:val="0"/>
    <w:pPr>
      <w:ind w:firstLine="420" w:firstLineChars="200"/>
    </w:pPr>
    <w:rPr>
      <w:szCs w:val="24"/>
    </w:rPr>
  </w:style>
  <w:style w:type="paragraph" w:styleId="10">
    <w:name w:val="Document Map"/>
    <w:basedOn w:val="1"/>
    <w:link w:val="130"/>
    <w:qFormat/>
    <w:uiPriority w:val="0"/>
    <w:pPr>
      <w:shd w:val="clear" w:color="auto" w:fill="000080"/>
    </w:pPr>
  </w:style>
  <w:style w:type="paragraph" w:styleId="11">
    <w:name w:val="annotation text"/>
    <w:basedOn w:val="1"/>
    <w:link w:val="53"/>
    <w:qFormat/>
    <w:uiPriority w:val="0"/>
    <w:pPr>
      <w:jc w:val="left"/>
    </w:pPr>
  </w:style>
  <w:style w:type="paragraph" w:styleId="12">
    <w:name w:val="Body Text"/>
    <w:basedOn w:val="1"/>
    <w:link w:val="47"/>
    <w:qFormat/>
    <w:uiPriority w:val="0"/>
    <w:pPr>
      <w:spacing w:after="120"/>
    </w:pPr>
  </w:style>
  <w:style w:type="paragraph" w:styleId="13">
    <w:name w:val="Body Text Indent"/>
    <w:basedOn w:val="1"/>
    <w:link w:val="128"/>
    <w:qFormat/>
    <w:uiPriority w:val="0"/>
    <w:pPr>
      <w:spacing w:after="120"/>
      <w:ind w:left="420" w:leftChars="200"/>
    </w:pPr>
  </w:style>
  <w:style w:type="paragraph" w:styleId="14">
    <w:name w:val="toc 5"/>
    <w:basedOn w:val="1"/>
    <w:next w:val="1"/>
    <w:unhideWhenUsed/>
    <w:qFormat/>
    <w:uiPriority w:val="39"/>
    <w:pPr>
      <w:ind w:left="1680" w:leftChars="800"/>
    </w:pPr>
    <w:rPr>
      <w:rFonts w:ascii="等线" w:hAnsi="等线" w:eastAsia="等线"/>
      <w:szCs w:val="22"/>
    </w:rPr>
  </w:style>
  <w:style w:type="paragraph" w:styleId="15">
    <w:name w:val="toc 3"/>
    <w:basedOn w:val="1"/>
    <w:next w:val="1"/>
    <w:unhideWhenUsed/>
    <w:qFormat/>
    <w:uiPriority w:val="39"/>
    <w:pPr>
      <w:ind w:left="840" w:leftChars="400"/>
    </w:pPr>
    <w:rPr>
      <w:rFonts w:asciiTheme="minorHAnsi" w:hAnsiTheme="minorHAnsi" w:eastAsiaTheme="minorEastAsia" w:cstheme="minorBidi"/>
      <w:szCs w:val="22"/>
    </w:rPr>
  </w:style>
  <w:style w:type="paragraph" w:styleId="16">
    <w:name w:val="Plain Text"/>
    <w:basedOn w:val="1"/>
    <w:link w:val="121"/>
    <w:qFormat/>
    <w:uiPriority w:val="0"/>
    <w:rPr>
      <w:rFonts w:ascii="宋体" w:hAnsi="Courier New"/>
    </w:rPr>
  </w:style>
  <w:style w:type="paragraph" w:styleId="17">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18">
    <w:name w:val="Date"/>
    <w:basedOn w:val="1"/>
    <w:next w:val="1"/>
    <w:link w:val="131"/>
    <w:qFormat/>
    <w:uiPriority w:val="0"/>
    <w:pPr>
      <w:ind w:left="100" w:leftChars="2500"/>
    </w:pPr>
    <w:rPr>
      <w:rFonts w:ascii="宋体" w:hAnsi="宋体"/>
      <w:sz w:val="24"/>
      <w:szCs w:val="24"/>
    </w:rPr>
  </w:style>
  <w:style w:type="paragraph" w:styleId="19">
    <w:name w:val="Body Text Indent 2"/>
    <w:basedOn w:val="1"/>
    <w:link w:val="123"/>
    <w:qFormat/>
    <w:uiPriority w:val="0"/>
    <w:pPr>
      <w:spacing w:after="120" w:line="480" w:lineRule="auto"/>
      <w:ind w:left="420" w:leftChars="200"/>
    </w:pPr>
  </w:style>
  <w:style w:type="paragraph" w:styleId="20">
    <w:name w:val="Balloon Text"/>
    <w:basedOn w:val="1"/>
    <w:link w:val="120"/>
    <w:qFormat/>
    <w:uiPriority w:val="0"/>
    <w:rPr>
      <w:sz w:val="18"/>
      <w:szCs w:val="18"/>
    </w:rPr>
  </w:style>
  <w:style w:type="paragraph" w:styleId="21">
    <w:name w:val="footer"/>
    <w:basedOn w:val="1"/>
    <w:link w:val="126"/>
    <w:qFormat/>
    <w:uiPriority w:val="0"/>
    <w:pPr>
      <w:tabs>
        <w:tab w:val="center" w:pos="4153"/>
        <w:tab w:val="right" w:pos="8306"/>
      </w:tabs>
      <w:snapToGrid w:val="0"/>
      <w:jc w:val="left"/>
    </w:pPr>
    <w:rPr>
      <w:sz w:val="18"/>
    </w:rPr>
  </w:style>
  <w:style w:type="paragraph" w:styleId="22">
    <w:name w:val="header"/>
    <w:basedOn w:val="1"/>
    <w:link w:val="125"/>
    <w:qFormat/>
    <w:uiPriority w:val="0"/>
    <w:pPr>
      <w:pBdr>
        <w:bottom w:val="single" w:color="auto" w:sz="6" w:space="1"/>
      </w:pBdr>
      <w:tabs>
        <w:tab w:val="center" w:pos="4153"/>
        <w:tab w:val="right" w:pos="8306"/>
      </w:tabs>
      <w:snapToGrid w:val="0"/>
      <w:jc w:val="center"/>
    </w:pPr>
    <w:rPr>
      <w:sz w:val="18"/>
    </w:rPr>
  </w:style>
  <w:style w:type="paragraph" w:styleId="23">
    <w:name w:val="toc 1"/>
    <w:basedOn w:val="1"/>
    <w:next w:val="1"/>
    <w:unhideWhenUsed/>
    <w:qFormat/>
    <w:uiPriority w:val="39"/>
  </w:style>
  <w:style w:type="paragraph" w:styleId="24">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5">
    <w:name w:val="toc 6"/>
    <w:basedOn w:val="1"/>
    <w:next w:val="1"/>
    <w:unhideWhenUsed/>
    <w:qFormat/>
    <w:uiPriority w:val="39"/>
    <w:pPr>
      <w:ind w:left="2100" w:leftChars="1000"/>
    </w:pPr>
    <w:rPr>
      <w:rFonts w:ascii="等线" w:hAnsi="等线" w:eastAsia="等线"/>
      <w:szCs w:val="22"/>
    </w:rPr>
  </w:style>
  <w:style w:type="paragraph" w:styleId="26">
    <w:name w:val="Body Text Indent 3"/>
    <w:basedOn w:val="1"/>
    <w:link w:val="133"/>
    <w:qFormat/>
    <w:uiPriority w:val="0"/>
    <w:pPr>
      <w:spacing w:after="120"/>
      <w:ind w:left="420" w:leftChars="200"/>
    </w:pPr>
    <w:rPr>
      <w:sz w:val="16"/>
      <w:szCs w:val="16"/>
    </w:rPr>
  </w:style>
  <w:style w:type="paragraph" w:styleId="27">
    <w:name w:val="index 9"/>
    <w:basedOn w:val="1"/>
    <w:next w:val="1"/>
    <w:qFormat/>
    <w:uiPriority w:val="0"/>
    <w:pPr>
      <w:ind w:left="1890" w:hanging="210"/>
      <w:jc w:val="left"/>
    </w:pPr>
    <w:rPr>
      <w:rFonts w:ascii="Calibri" w:hAnsi="Calibri"/>
      <w:sz w:val="20"/>
    </w:rPr>
  </w:style>
  <w:style w:type="paragraph" w:styleId="28">
    <w:name w:val="toc 2"/>
    <w:basedOn w:val="1"/>
    <w:next w:val="1"/>
    <w:unhideWhenUsed/>
    <w:qFormat/>
    <w:uiPriority w:val="39"/>
    <w:pPr>
      <w:ind w:left="420" w:leftChars="200"/>
    </w:pPr>
  </w:style>
  <w:style w:type="paragraph" w:styleId="29">
    <w:name w:val="toc 9"/>
    <w:basedOn w:val="1"/>
    <w:next w:val="1"/>
    <w:unhideWhenUsed/>
    <w:qFormat/>
    <w:uiPriority w:val="39"/>
    <w:pPr>
      <w:ind w:left="3360" w:leftChars="1600"/>
    </w:pPr>
    <w:rPr>
      <w:rFonts w:ascii="等线" w:hAnsi="等线" w:eastAsia="等线"/>
      <w:szCs w:val="22"/>
    </w:rPr>
  </w:style>
  <w:style w:type="paragraph" w:styleId="30">
    <w:name w:val="Body Text 2"/>
    <w:basedOn w:val="1"/>
    <w:link w:val="122"/>
    <w:qFormat/>
    <w:uiPriority w:val="0"/>
    <w:pPr>
      <w:spacing w:line="580" w:lineRule="exact"/>
    </w:pPr>
    <w:rPr>
      <w:rFonts w:ascii="宋体" w:hAnsi="宋体"/>
      <w:sz w:val="28"/>
      <w:szCs w:val="24"/>
    </w:rPr>
  </w:style>
  <w:style w:type="paragraph" w:styleId="31">
    <w:name w:val="Title"/>
    <w:basedOn w:val="1"/>
    <w:next w:val="1"/>
    <w:link w:val="74"/>
    <w:qFormat/>
    <w:uiPriority w:val="0"/>
    <w:pPr>
      <w:spacing w:before="240" w:after="60"/>
      <w:jc w:val="center"/>
      <w:outlineLvl w:val="0"/>
    </w:pPr>
    <w:rPr>
      <w:rFonts w:ascii="Cambria" w:hAnsi="Cambria"/>
      <w:b/>
      <w:bCs/>
      <w:sz w:val="32"/>
      <w:szCs w:val="32"/>
      <w:lang w:val="zh-CN" w:eastAsia="zh-CN"/>
    </w:rPr>
  </w:style>
  <w:style w:type="paragraph" w:styleId="32">
    <w:name w:val="annotation subject"/>
    <w:basedOn w:val="11"/>
    <w:next w:val="11"/>
    <w:link w:val="54"/>
    <w:qFormat/>
    <w:uiPriority w:val="0"/>
    <w:rPr>
      <w:b/>
      <w:bCs/>
    </w:rPr>
  </w:style>
  <w:style w:type="table" w:styleId="34">
    <w:name w:val="Table Grid"/>
    <w:basedOn w:val="3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page number"/>
    <w:basedOn w:val="35"/>
    <w:qFormat/>
    <w:uiPriority w:val="0"/>
  </w:style>
  <w:style w:type="character" w:styleId="37">
    <w:name w:val="Hyperlink"/>
    <w:qFormat/>
    <w:uiPriority w:val="99"/>
    <w:rPr>
      <w:color w:val="0000FF"/>
      <w:u w:val="single"/>
    </w:rPr>
  </w:style>
  <w:style w:type="character" w:styleId="38">
    <w:name w:val="annotation reference"/>
    <w:qFormat/>
    <w:uiPriority w:val="0"/>
    <w:rPr>
      <w:sz w:val="21"/>
      <w:szCs w:val="21"/>
    </w:rPr>
  </w:style>
  <w:style w:type="character" w:styleId="39">
    <w:name w:val="HTML Sample"/>
    <w:qFormat/>
    <w:uiPriority w:val="0"/>
    <w:rPr>
      <w:rFonts w:ascii="Courier New" w:hAnsi="Courier New"/>
    </w:rPr>
  </w:style>
  <w:style w:type="paragraph" w:customStyle="1" w:styleId="40">
    <w:name w:val="目录 2112"/>
    <w:basedOn w:val="1"/>
    <w:next w:val="1"/>
    <w:autoRedefine/>
    <w:qFormat/>
    <w:uiPriority w:val="39"/>
    <w:pPr>
      <w:tabs>
        <w:tab w:val="left" w:pos="540"/>
        <w:tab w:val="right" w:leader="dot" w:pos="9356"/>
      </w:tabs>
    </w:pPr>
  </w:style>
  <w:style w:type="paragraph" w:customStyle="1" w:styleId="41">
    <w:name w:val="目录 1112"/>
    <w:basedOn w:val="1"/>
    <w:next w:val="1"/>
    <w:autoRedefine/>
    <w:qFormat/>
    <w:uiPriority w:val="39"/>
    <w:pPr>
      <w:tabs>
        <w:tab w:val="left" w:pos="210"/>
        <w:tab w:val="right" w:leader="dot" w:pos="9356"/>
      </w:tabs>
    </w:pPr>
  </w:style>
  <w:style w:type="paragraph" w:customStyle="1" w:styleId="42">
    <w:name w:val="目录 8112"/>
    <w:basedOn w:val="1"/>
    <w:next w:val="1"/>
    <w:autoRedefine/>
    <w:qFormat/>
    <w:uiPriority w:val="39"/>
    <w:pPr>
      <w:tabs>
        <w:tab w:val="right" w:leader="dot" w:pos="8302"/>
      </w:tabs>
    </w:pPr>
  </w:style>
  <w:style w:type="paragraph" w:customStyle="1" w:styleId="43">
    <w:name w:val="样式 标题 3 + 左侧:  0 厘米 段前: 5 磅 段后: 5 磅 行距: 单倍行距"/>
    <w:basedOn w:val="4"/>
    <w:qFormat/>
    <w:uiPriority w:val="0"/>
    <w:pPr>
      <w:numPr>
        <w:ilvl w:val="2"/>
        <w:numId w:val="1"/>
      </w:numPr>
      <w:spacing w:before="100" w:after="100" w:line="240" w:lineRule="auto"/>
      <w:jc w:val="left"/>
    </w:pPr>
    <w:rPr>
      <w:rFonts w:eastAsia="黑体" w:cs="宋体"/>
      <w:b w:val="0"/>
      <w:bCs w:val="0"/>
      <w:kern w:val="0"/>
      <w:sz w:val="24"/>
      <w:szCs w:val="20"/>
    </w:rPr>
  </w:style>
  <w:style w:type="character" w:customStyle="1" w:styleId="44">
    <w:name w:val="Char"/>
    <w:qFormat/>
    <w:uiPriority w:val="0"/>
    <w:rPr>
      <w:rFonts w:eastAsia="宋体"/>
      <w:kern w:val="2"/>
      <w:sz w:val="21"/>
      <w:lang w:val="en-US" w:eastAsia="zh-CN" w:bidi="ar-SA"/>
    </w:rPr>
  </w:style>
  <w:style w:type="paragraph" w:customStyle="1" w:styleId="45">
    <w:name w:val="样式A1"/>
    <w:basedOn w:val="1"/>
    <w:qFormat/>
    <w:uiPriority w:val="0"/>
    <w:pPr>
      <w:numPr>
        <w:ilvl w:val="0"/>
        <w:numId w:val="2"/>
      </w:numPr>
    </w:pPr>
    <w:rPr>
      <w:sz w:val="24"/>
    </w:rPr>
  </w:style>
  <w:style w:type="paragraph" w:customStyle="1" w:styleId="46">
    <w:name w:val="样式A.1.1"/>
    <w:basedOn w:val="43"/>
    <w:qFormat/>
    <w:uiPriority w:val="0"/>
    <w:pPr>
      <w:numPr>
        <w:ilvl w:val="0"/>
        <w:numId w:val="3"/>
      </w:numPr>
      <w:spacing w:before="0" w:after="0" w:line="300" w:lineRule="auto"/>
    </w:pPr>
    <w:rPr>
      <w:rFonts w:ascii="Arial" w:hAnsi="Arial" w:eastAsia="宋体" w:cs="Times New Roman"/>
      <w:bCs/>
      <w:kern w:val="2"/>
      <w:szCs w:val="24"/>
    </w:rPr>
  </w:style>
  <w:style w:type="character" w:customStyle="1" w:styleId="47">
    <w:name w:val="正文文本 字符"/>
    <w:link w:val="12"/>
    <w:qFormat/>
    <w:uiPriority w:val="0"/>
    <w:rPr>
      <w:rFonts w:eastAsia="宋体"/>
      <w:kern w:val="2"/>
      <w:sz w:val="21"/>
      <w:lang w:val="en-US" w:eastAsia="zh-CN" w:bidi="ar-SA"/>
    </w:rPr>
  </w:style>
  <w:style w:type="paragraph" w:customStyle="1" w:styleId="48">
    <w:name w:val="目录 3112"/>
    <w:basedOn w:val="1"/>
    <w:next w:val="1"/>
    <w:autoRedefine/>
    <w:qFormat/>
    <w:uiPriority w:val="39"/>
    <w:pPr>
      <w:ind w:left="840" w:leftChars="400"/>
    </w:pPr>
  </w:style>
  <w:style w:type="paragraph" w:customStyle="1" w:styleId="49">
    <w:name w:val="目录 4112"/>
    <w:basedOn w:val="1"/>
    <w:next w:val="1"/>
    <w:autoRedefine/>
    <w:qFormat/>
    <w:uiPriority w:val="39"/>
    <w:pPr>
      <w:ind w:left="1260" w:leftChars="600"/>
    </w:pPr>
  </w:style>
  <w:style w:type="paragraph" w:customStyle="1" w:styleId="50">
    <w:name w:val="段"/>
    <w:link w:val="5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1">
    <w:name w:val="正文表标题"/>
    <w:next w:val="50"/>
    <w:qFormat/>
    <w:uiPriority w:val="0"/>
    <w:pPr>
      <w:numPr>
        <w:ilvl w:val="0"/>
        <w:numId w:val="4"/>
      </w:numPr>
      <w:jc w:val="center"/>
    </w:pPr>
    <w:rPr>
      <w:rFonts w:ascii="黑体" w:hAnsi="Times New Roman" w:eastAsia="黑体" w:cs="Times New Roman"/>
      <w:sz w:val="21"/>
      <w:lang w:val="en-US" w:eastAsia="zh-CN" w:bidi="ar-SA"/>
    </w:rPr>
  </w:style>
  <w:style w:type="paragraph" w:customStyle="1" w:styleId="52">
    <w:name w:val="Char Char1 Char Char Char"/>
    <w:basedOn w:val="10"/>
    <w:qFormat/>
    <w:uiPriority w:val="0"/>
  </w:style>
  <w:style w:type="character" w:customStyle="1" w:styleId="53">
    <w:name w:val="批注文字 字符"/>
    <w:link w:val="11"/>
    <w:qFormat/>
    <w:uiPriority w:val="0"/>
    <w:rPr>
      <w:rFonts w:eastAsia="宋体"/>
      <w:kern w:val="2"/>
      <w:sz w:val="21"/>
      <w:lang w:val="en-US" w:eastAsia="zh-CN" w:bidi="ar-SA"/>
    </w:rPr>
  </w:style>
  <w:style w:type="character" w:customStyle="1" w:styleId="54">
    <w:name w:val="批注主题 字符"/>
    <w:link w:val="32"/>
    <w:qFormat/>
    <w:uiPriority w:val="0"/>
    <w:rPr>
      <w:rFonts w:eastAsia="宋体"/>
      <w:b/>
      <w:bCs/>
      <w:kern w:val="2"/>
      <w:sz w:val="21"/>
      <w:lang w:val="en-US" w:eastAsia="zh-CN" w:bidi="ar-SA"/>
    </w:rPr>
  </w:style>
  <w:style w:type="paragraph" w:customStyle="1" w:styleId="55">
    <w:name w:val="Char Char Char Char Char Char1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56">
    <w:name w:val="段 Char"/>
    <w:link w:val="50"/>
    <w:qFormat/>
    <w:uiPriority w:val="0"/>
    <w:rPr>
      <w:rFonts w:ascii="宋体"/>
      <w:sz w:val="21"/>
      <w:lang w:val="en-US" w:eastAsia="zh-CN" w:bidi="ar-SA"/>
    </w:rPr>
  </w:style>
  <w:style w:type="character" w:customStyle="1" w:styleId="57">
    <w:name w:val="正文文本_"/>
    <w:link w:val="58"/>
    <w:qFormat/>
    <w:uiPriority w:val="0"/>
    <w:rPr>
      <w:rFonts w:ascii="MingLiU" w:hAnsi="MingLiU" w:eastAsia="MingLiU" w:cs="MingLiU"/>
      <w:sz w:val="21"/>
      <w:szCs w:val="21"/>
      <w:shd w:val="clear" w:color="auto" w:fill="FFFFFF"/>
    </w:rPr>
  </w:style>
  <w:style w:type="paragraph" w:customStyle="1" w:styleId="58">
    <w:name w:val="正文文本2"/>
    <w:basedOn w:val="1"/>
    <w:link w:val="57"/>
    <w:qFormat/>
    <w:uiPriority w:val="0"/>
    <w:pPr>
      <w:shd w:val="clear" w:color="auto" w:fill="FFFFFF"/>
      <w:spacing w:line="313" w:lineRule="exact"/>
      <w:ind w:hanging="1960"/>
      <w:jc w:val="distribute"/>
    </w:pPr>
    <w:rPr>
      <w:rFonts w:ascii="MingLiU" w:hAnsi="MingLiU" w:eastAsia="MingLiU"/>
      <w:kern w:val="0"/>
      <w:szCs w:val="21"/>
      <w:lang w:val="zh-CN" w:eastAsia="zh-CN"/>
    </w:rPr>
  </w:style>
  <w:style w:type="character" w:customStyle="1" w:styleId="59">
    <w:name w:val="正文文本 + Arial Unicode MS"/>
    <w:qFormat/>
    <w:uiPriority w:val="0"/>
    <w:rPr>
      <w:rFonts w:ascii="Arial Unicode MS" w:hAnsi="Arial Unicode MS" w:eastAsia="Arial Unicode MS" w:cs="Arial Unicode MS"/>
      <w:color w:val="000000"/>
      <w:spacing w:val="0"/>
      <w:w w:val="100"/>
      <w:position w:val="0"/>
      <w:sz w:val="20"/>
      <w:szCs w:val="20"/>
      <w:shd w:val="clear" w:color="auto" w:fill="FFFFFF"/>
      <w:lang w:val="en-US"/>
    </w:rPr>
  </w:style>
  <w:style w:type="paragraph" w:customStyle="1" w:styleId="60">
    <w:name w:val="目录 511"/>
    <w:basedOn w:val="1"/>
    <w:next w:val="1"/>
    <w:autoRedefine/>
    <w:unhideWhenUsed/>
    <w:qFormat/>
    <w:uiPriority w:val="39"/>
    <w:pPr>
      <w:ind w:left="1680" w:leftChars="800"/>
    </w:pPr>
    <w:rPr>
      <w:rFonts w:ascii="Calibri" w:hAnsi="Calibri"/>
      <w:szCs w:val="22"/>
    </w:rPr>
  </w:style>
  <w:style w:type="paragraph" w:customStyle="1" w:styleId="61">
    <w:name w:val="目录 611"/>
    <w:basedOn w:val="1"/>
    <w:next w:val="1"/>
    <w:autoRedefine/>
    <w:unhideWhenUsed/>
    <w:qFormat/>
    <w:uiPriority w:val="39"/>
    <w:pPr>
      <w:ind w:left="2100" w:leftChars="1000"/>
    </w:pPr>
    <w:rPr>
      <w:rFonts w:ascii="Calibri" w:hAnsi="Calibri"/>
      <w:szCs w:val="22"/>
    </w:rPr>
  </w:style>
  <w:style w:type="paragraph" w:customStyle="1" w:styleId="62">
    <w:name w:val="目录 711"/>
    <w:basedOn w:val="1"/>
    <w:next w:val="1"/>
    <w:autoRedefine/>
    <w:unhideWhenUsed/>
    <w:qFormat/>
    <w:uiPriority w:val="39"/>
    <w:pPr>
      <w:ind w:left="2520" w:leftChars="1200"/>
    </w:pPr>
    <w:rPr>
      <w:rFonts w:ascii="Calibri" w:hAnsi="Calibri"/>
      <w:szCs w:val="22"/>
    </w:rPr>
  </w:style>
  <w:style w:type="paragraph" w:customStyle="1" w:styleId="63">
    <w:name w:val="目录 911"/>
    <w:basedOn w:val="1"/>
    <w:next w:val="1"/>
    <w:autoRedefine/>
    <w:unhideWhenUsed/>
    <w:qFormat/>
    <w:uiPriority w:val="39"/>
    <w:pPr>
      <w:ind w:left="3360" w:leftChars="1600"/>
    </w:pPr>
    <w:rPr>
      <w:rFonts w:ascii="Calibri" w:hAnsi="Calibri"/>
      <w:szCs w:val="22"/>
    </w:rPr>
  </w:style>
  <w:style w:type="paragraph" w:customStyle="1" w:styleId="64">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65">
    <w:name w:val="前言、引言标题"/>
    <w:next w:val="1"/>
    <w:qFormat/>
    <w:uiPriority w:val="0"/>
    <w:pPr>
      <w:numPr>
        <w:ilvl w:val="0"/>
        <w:numId w:val="5"/>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6">
    <w:name w:val="章标题"/>
    <w:next w:val="50"/>
    <w:qFormat/>
    <w:uiPriority w:val="0"/>
    <w:pPr>
      <w:numPr>
        <w:ilvl w:val="1"/>
        <w:numId w:val="5"/>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67">
    <w:name w:val="一级条标题"/>
    <w:basedOn w:val="66"/>
    <w:next w:val="50"/>
    <w:qFormat/>
    <w:uiPriority w:val="0"/>
    <w:pPr>
      <w:numPr>
        <w:ilvl w:val="2"/>
      </w:numPr>
      <w:spacing w:before="0" w:beforeLines="0" w:after="0" w:afterLines="0"/>
      <w:outlineLvl w:val="2"/>
    </w:pPr>
  </w:style>
  <w:style w:type="paragraph" w:customStyle="1" w:styleId="68">
    <w:name w:val="二级条标题"/>
    <w:basedOn w:val="67"/>
    <w:next w:val="50"/>
    <w:qFormat/>
    <w:uiPriority w:val="0"/>
    <w:pPr>
      <w:numPr>
        <w:ilvl w:val="3"/>
      </w:numPr>
      <w:outlineLvl w:val="3"/>
    </w:pPr>
  </w:style>
  <w:style w:type="paragraph" w:customStyle="1" w:styleId="69">
    <w:name w:val="三级条标题"/>
    <w:basedOn w:val="68"/>
    <w:next w:val="50"/>
    <w:qFormat/>
    <w:uiPriority w:val="0"/>
    <w:pPr>
      <w:numPr>
        <w:ilvl w:val="4"/>
      </w:numPr>
      <w:outlineLvl w:val="4"/>
    </w:pPr>
  </w:style>
  <w:style w:type="paragraph" w:customStyle="1" w:styleId="70">
    <w:name w:val="四级条标题"/>
    <w:basedOn w:val="69"/>
    <w:next w:val="50"/>
    <w:qFormat/>
    <w:uiPriority w:val="0"/>
    <w:pPr>
      <w:numPr>
        <w:ilvl w:val="5"/>
      </w:numPr>
      <w:outlineLvl w:val="5"/>
    </w:pPr>
  </w:style>
  <w:style w:type="paragraph" w:customStyle="1" w:styleId="71">
    <w:name w:val="五级条标题"/>
    <w:basedOn w:val="70"/>
    <w:next w:val="50"/>
    <w:qFormat/>
    <w:uiPriority w:val="0"/>
    <w:pPr>
      <w:numPr>
        <w:ilvl w:val="6"/>
      </w:numPr>
      <w:outlineLvl w:val="6"/>
    </w:pPr>
  </w:style>
  <w:style w:type="paragraph" w:customStyle="1" w:styleId="72">
    <w:name w:val="注：（正文）"/>
    <w:basedOn w:val="1"/>
    <w:next w:val="50"/>
    <w:qFormat/>
    <w:uiPriority w:val="0"/>
    <w:pPr>
      <w:autoSpaceDE w:val="0"/>
      <w:autoSpaceDN w:val="0"/>
      <w:ind w:left="726" w:hanging="363"/>
    </w:pPr>
    <w:rPr>
      <w:rFonts w:ascii="宋体"/>
      <w:kern w:val="0"/>
      <w:sz w:val="18"/>
      <w:szCs w:val="18"/>
    </w:rPr>
  </w:style>
  <w:style w:type="paragraph" w:customStyle="1" w:styleId="73">
    <w:name w:val="列出段落"/>
    <w:basedOn w:val="1"/>
    <w:qFormat/>
    <w:uiPriority w:val="34"/>
    <w:pPr>
      <w:ind w:firstLine="420" w:firstLineChars="200"/>
    </w:pPr>
    <w:rPr>
      <w:rFonts w:ascii="Calibri" w:hAnsi="Calibri"/>
      <w:szCs w:val="22"/>
    </w:rPr>
  </w:style>
  <w:style w:type="character" w:customStyle="1" w:styleId="74">
    <w:name w:val="标题 字符"/>
    <w:link w:val="31"/>
    <w:qFormat/>
    <w:uiPriority w:val="0"/>
    <w:rPr>
      <w:rFonts w:ascii="Cambria" w:hAnsi="Cambria" w:cs="Times New Roman"/>
      <w:b/>
      <w:bCs/>
      <w:kern w:val="2"/>
      <w:sz w:val="32"/>
      <w:szCs w:val="32"/>
    </w:rPr>
  </w:style>
  <w:style w:type="paragraph" w:customStyle="1" w:styleId="75">
    <w:name w:val="Revision"/>
    <w:hidden/>
    <w:semiHidden/>
    <w:qFormat/>
    <w:uiPriority w:val="99"/>
    <w:rPr>
      <w:rFonts w:ascii="Times New Roman" w:hAnsi="Times New Roman" w:eastAsia="宋体" w:cs="Times New Roman"/>
      <w:kern w:val="2"/>
      <w:sz w:val="21"/>
      <w:lang w:val="en-US" w:eastAsia="zh-CN" w:bidi="ar-SA"/>
    </w:rPr>
  </w:style>
  <w:style w:type="paragraph" w:customStyle="1" w:styleId="76">
    <w:name w:val="标准文件_正文公式"/>
    <w:basedOn w:val="1"/>
    <w:next w:val="1"/>
    <w:qFormat/>
    <w:uiPriority w:val="0"/>
    <w:pPr>
      <w:tabs>
        <w:tab w:val="center" w:pos="4678"/>
        <w:tab w:val="right" w:leader="middleDot" w:pos="9356"/>
      </w:tabs>
      <w:adjustRightInd w:val="0"/>
    </w:pPr>
    <w:rPr>
      <w:rFonts w:ascii="宋体" w:hAnsi="宋体"/>
      <w:szCs w:val="21"/>
    </w:rPr>
  </w:style>
  <w:style w:type="paragraph" w:customStyle="1" w:styleId="77">
    <w:name w:val="标准文件_注："/>
    <w:next w:val="1"/>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78">
    <w:name w:val="标准文件_段"/>
    <w:link w:val="7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79">
    <w:name w:val="标准文件_段 Char"/>
    <w:link w:val="78"/>
    <w:qFormat/>
    <w:uiPriority w:val="0"/>
    <w:rPr>
      <w:rFonts w:ascii="宋体"/>
      <w:sz w:val="21"/>
    </w:rPr>
  </w:style>
  <w:style w:type="paragraph" w:customStyle="1" w:styleId="80">
    <w:name w:val="标准文件_表格"/>
    <w:basedOn w:val="78"/>
    <w:qFormat/>
    <w:uiPriority w:val="0"/>
    <w:pPr>
      <w:ind w:firstLine="0" w:firstLineChars="0"/>
      <w:jc w:val="center"/>
    </w:pPr>
    <w:rPr>
      <w:sz w:val="18"/>
    </w:rPr>
  </w:style>
  <w:style w:type="character" w:customStyle="1" w:styleId="81">
    <w:name w:val="translated-span"/>
    <w:basedOn w:val="35"/>
    <w:qFormat/>
    <w:uiPriority w:val="0"/>
  </w:style>
  <w:style w:type="paragraph" w:customStyle="1" w:styleId="82">
    <w:name w:val="标准文件_前言、引言标题"/>
    <w:next w:val="1"/>
    <w:qFormat/>
    <w:uiPriority w:val="0"/>
    <w:pPr>
      <w:numPr>
        <w:ilvl w:val="0"/>
        <w:numId w:val="7"/>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83">
    <w:name w:val="标准文件_引言一级条标题"/>
    <w:basedOn w:val="78"/>
    <w:next w:val="78"/>
    <w:qFormat/>
    <w:uiPriority w:val="0"/>
    <w:pPr>
      <w:numPr>
        <w:ilvl w:val="1"/>
        <w:numId w:val="7"/>
      </w:numPr>
      <w:spacing w:before="50" w:beforeLines="50" w:after="50" w:afterLines="50"/>
      <w:ind w:firstLineChars="0"/>
    </w:pPr>
    <w:rPr>
      <w:rFonts w:ascii="黑体" w:eastAsia="黑体"/>
    </w:rPr>
  </w:style>
  <w:style w:type="paragraph" w:customStyle="1" w:styleId="84">
    <w:name w:val="标准文件_引言二级条标题"/>
    <w:basedOn w:val="78"/>
    <w:next w:val="78"/>
    <w:qFormat/>
    <w:uiPriority w:val="0"/>
    <w:pPr>
      <w:numPr>
        <w:ilvl w:val="2"/>
        <w:numId w:val="7"/>
      </w:numPr>
      <w:spacing w:before="50" w:beforeLines="50" w:after="50" w:afterLines="50"/>
      <w:ind w:firstLineChars="0"/>
    </w:pPr>
    <w:rPr>
      <w:rFonts w:ascii="黑体" w:eastAsia="黑体"/>
    </w:rPr>
  </w:style>
  <w:style w:type="paragraph" w:customStyle="1" w:styleId="85">
    <w:name w:val="标准文件_引言三级条标题"/>
    <w:basedOn w:val="78"/>
    <w:next w:val="78"/>
    <w:qFormat/>
    <w:uiPriority w:val="0"/>
    <w:pPr>
      <w:numPr>
        <w:ilvl w:val="3"/>
        <w:numId w:val="7"/>
      </w:numPr>
      <w:spacing w:before="50" w:beforeLines="50" w:after="50" w:afterLines="50"/>
      <w:ind w:firstLineChars="0"/>
    </w:pPr>
    <w:rPr>
      <w:rFonts w:ascii="黑体" w:eastAsia="黑体"/>
    </w:rPr>
  </w:style>
  <w:style w:type="paragraph" w:customStyle="1" w:styleId="86">
    <w:name w:val="标准文件_引言四级条标题"/>
    <w:basedOn w:val="78"/>
    <w:next w:val="78"/>
    <w:qFormat/>
    <w:uiPriority w:val="0"/>
    <w:pPr>
      <w:numPr>
        <w:ilvl w:val="4"/>
        <w:numId w:val="7"/>
      </w:numPr>
      <w:spacing w:before="50" w:beforeLines="50" w:after="50" w:afterLines="50"/>
      <w:ind w:firstLineChars="0"/>
    </w:pPr>
    <w:rPr>
      <w:rFonts w:ascii="黑体" w:eastAsia="黑体"/>
    </w:rPr>
  </w:style>
  <w:style w:type="paragraph" w:customStyle="1" w:styleId="87">
    <w:name w:val="标准文件_引言五级条标题"/>
    <w:basedOn w:val="78"/>
    <w:next w:val="78"/>
    <w:qFormat/>
    <w:uiPriority w:val="0"/>
    <w:pPr>
      <w:numPr>
        <w:ilvl w:val="5"/>
        <w:numId w:val="7"/>
      </w:numPr>
      <w:spacing w:before="50" w:beforeLines="50" w:after="50" w:afterLines="50"/>
      <w:ind w:firstLineChars="0"/>
    </w:pPr>
    <w:rPr>
      <w:rFonts w:ascii="黑体" w:eastAsia="黑体"/>
    </w:rPr>
  </w:style>
  <w:style w:type="paragraph" w:customStyle="1" w:styleId="88">
    <w:name w:val="MTDisplayEquation"/>
    <w:basedOn w:val="1"/>
    <w:next w:val="1"/>
    <w:link w:val="89"/>
    <w:qFormat/>
    <w:uiPriority w:val="0"/>
    <w:pPr>
      <w:tabs>
        <w:tab w:val="center" w:pos="4680"/>
        <w:tab w:val="right" w:pos="9360"/>
      </w:tabs>
      <w:adjustRightInd w:val="0"/>
      <w:snapToGrid w:val="0"/>
      <w:spacing w:line="288" w:lineRule="auto"/>
      <w:ind w:firstLine="480"/>
    </w:pPr>
    <w:rPr>
      <w:i/>
      <w:sz w:val="24"/>
      <w:szCs w:val="24"/>
    </w:rPr>
  </w:style>
  <w:style w:type="character" w:customStyle="1" w:styleId="89">
    <w:name w:val="MTDisplayEquation 字符"/>
    <w:link w:val="88"/>
    <w:qFormat/>
    <w:uiPriority w:val="0"/>
    <w:rPr>
      <w:i/>
      <w:kern w:val="2"/>
      <w:sz w:val="24"/>
      <w:szCs w:val="24"/>
    </w:rPr>
  </w:style>
  <w:style w:type="paragraph" w:customStyle="1" w:styleId="90">
    <w:name w:val="标准文件_图表脚注"/>
    <w:basedOn w:val="1"/>
    <w:next w:val="78"/>
    <w:qFormat/>
    <w:uiPriority w:val="0"/>
    <w:pPr>
      <w:numPr>
        <w:ilvl w:val="0"/>
        <w:numId w:val="8"/>
      </w:numPr>
      <w:adjustRightInd w:val="0"/>
      <w:jc w:val="left"/>
    </w:pPr>
    <w:rPr>
      <w:rFonts w:ascii="宋体" w:hAnsi="宋体"/>
      <w:sz w:val="18"/>
      <w:szCs w:val="21"/>
    </w:rPr>
  </w:style>
  <w:style w:type="paragraph" w:customStyle="1" w:styleId="91">
    <w:name w:val="标准文件_数字编号列项（二级）"/>
    <w:qFormat/>
    <w:uiPriority w:val="0"/>
    <w:pPr>
      <w:numPr>
        <w:ilvl w:val="1"/>
        <w:numId w:val="9"/>
      </w:numPr>
      <w:jc w:val="both"/>
    </w:pPr>
    <w:rPr>
      <w:rFonts w:ascii="宋体" w:hAnsi="Times New Roman" w:eastAsia="宋体" w:cs="Times New Roman"/>
      <w:sz w:val="21"/>
      <w:lang w:val="en-US" w:eastAsia="zh-CN" w:bidi="ar-SA"/>
    </w:rPr>
  </w:style>
  <w:style w:type="paragraph" w:customStyle="1" w:styleId="92">
    <w:name w:val="标准文件_编号列项（三级）"/>
    <w:qFormat/>
    <w:uiPriority w:val="0"/>
    <w:pPr>
      <w:numPr>
        <w:ilvl w:val="2"/>
        <w:numId w:val="9"/>
      </w:numPr>
    </w:pPr>
    <w:rPr>
      <w:rFonts w:ascii="宋体" w:hAnsi="Times New Roman" w:eastAsia="宋体" w:cs="Times New Roman"/>
      <w:sz w:val="21"/>
      <w:lang w:val="en-US" w:eastAsia="zh-CN" w:bidi="ar-SA"/>
    </w:rPr>
  </w:style>
  <w:style w:type="paragraph" w:customStyle="1" w:styleId="93">
    <w:name w:val="标准文件_字母编号列项（一级）"/>
    <w:qFormat/>
    <w:uiPriority w:val="0"/>
    <w:pPr>
      <w:numPr>
        <w:ilvl w:val="0"/>
        <w:numId w:val="9"/>
      </w:numPr>
      <w:jc w:val="both"/>
    </w:pPr>
    <w:rPr>
      <w:rFonts w:ascii="宋体" w:hAnsi="Times New Roman" w:eastAsia="宋体" w:cs="Times New Roman"/>
      <w:sz w:val="21"/>
      <w:lang w:val="en-US" w:eastAsia="zh-CN" w:bidi="ar-SA"/>
    </w:rPr>
  </w:style>
  <w:style w:type="paragraph" w:customStyle="1" w:styleId="94">
    <w:name w:val="标准文件_标准正文"/>
    <w:basedOn w:val="1"/>
    <w:next w:val="78"/>
    <w:qFormat/>
    <w:uiPriority w:val="0"/>
    <w:pPr>
      <w:adjustRightInd w:val="0"/>
      <w:snapToGrid w:val="0"/>
      <w:spacing w:line="400" w:lineRule="exact"/>
      <w:ind w:firstLine="200" w:firstLineChars="200"/>
    </w:pPr>
    <w:rPr>
      <w:rFonts w:ascii="Calibri" w:hAnsi="Calibri"/>
      <w:kern w:val="0"/>
      <w:szCs w:val="21"/>
    </w:rPr>
  </w:style>
  <w:style w:type="paragraph" w:styleId="95">
    <w:name w:val="List Paragraph"/>
    <w:basedOn w:val="1"/>
    <w:qFormat/>
    <w:uiPriority w:val="34"/>
    <w:pPr>
      <w:ind w:firstLine="420" w:firstLineChars="200"/>
    </w:pPr>
  </w:style>
  <w:style w:type="character" w:customStyle="1" w:styleId="96">
    <w:name w:val="正文文本 字符2"/>
    <w:qFormat/>
    <w:uiPriority w:val="0"/>
    <w:rPr>
      <w:rFonts w:eastAsia="宋体"/>
      <w:kern w:val="2"/>
      <w:sz w:val="21"/>
      <w:lang w:val="en-US" w:eastAsia="zh-CN" w:bidi="ar-SA"/>
    </w:rPr>
  </w:style>
  <w:style w:type="paragraph" w:customStyle="1" w:styleId="97">
    <w:name w:val="目录 1111"/>
    <w:basedOn w:val="1"/>
    <w:next w:val="1"/>
    <w:qFormat/>
    <w:uiPriority w:val="39"/>
    <w:pPr>
      <w:tabs>
        <w:tab w:val="left" w:pos="210"/>
        <w:tab w:val="right" w:leader="dot" w:pos="8302"/>
      </w:tabs>
    </w:pPr>
  </w:style>
  <w:style w:type="paragraph" w:customStyle="1" w:styleId="98">
    <w:name w:val="目录 8111"/>
    <w:basedOn w:val="1"/>
    <w:next w:val="1"/>
    <w:qFormat/>
    <w:uiPriority w:val="39"/>
    <w:pPr>
      <w:tabs>
        <w:tab w:val="right" w:leader="dot" w:pos="8302"/>
      </w:tabs>
    </w:pPr>
  </w:style>
  <w:style w:type="paragraph" w:customStyle="1" w:styleId="99">
    <w:name w:val="目录 3111"/>
    <w:basedOn w:val="1"/>
    <w:next w:val="1"/>
    <w:qFormat/>
    <w:uiPriority w:val="39"/>
    <w:pPr>
      <w:ind w:left="840" w:leftChars="400"/>
    </w:pPr>
  </w:style>
  <w:style w:type="paragraph" w:customStyle="1" w:styleId="100">
    <w:name w:val="目录 2111"/>
    <w:basedOn w:val="1"/>
    <w:next w:val="1"/>
    <w:qFormat/>
    <w:uiPriority w:val="39"/>
    <w:pPr>
      <w:tabs>
        <w:tab w:val="left" w:pos="720"/>
        <w:tab w:val="right" w:leader="dot" w:pos="8302"/>
      </w:tabs>
    </w:pPr>
  </w:style>
  <w:style w:type="paragraph" w:customStyle="1" w:styleId="101">
    <w:name w:val="目录 4111"/>
    <w:basedOn w:val="1"/>
    <w:next w:val="1"/>
    <w:qFormat/>
    <w:uiPriority w:val="39"/>
    <w:pPr>
      <w:ind w:left="1260" w:leftChars="600"/>
    </w:pPr>
  </w:style>
  <w:style w:type="paragraph" w:customStyle="1" w:styleId="102">
    <w:name w:val="Char Char1"/>
    <w:basedOn w:val="1"/>
    <w:qFormat/>
    <w:uiPriority w:val="0"/>
    <w:rPr>
      <w:rFonts w:ascii="Tahoma" w:hAnsi="Tahoma"/>
      <w:sz w:val="24"/>
    </w:rPr>
  </w:style>
  <w:style w:type="paragraph" w:customStyle="1" w:styleId="103">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04">
    <w:name w:val="大纲正文样式 Char"/>
    <w:link w:val="105"/>
    <w:qFormat/>
    <w:uiPriority w:val="0"/>
    <w:rPr>
      <w:color w:val="000000"/>
      <w:kern w:val="2"/>
      <w:sz w:val="24"/>
      <w:szCs w:val="24"/>
    </w:rPr>
  </w:style>
  <w:style w:type="paragraph" w:customStyle="1" w:styleId="105">
    <w:name w:val="大纲正文样式"/>
    <w:basedOn w:val="1"/>
    <w:link w:val="104"/>
    <w:qFormat/>
    <w:uiPriority w:val="0"/>
    <w:pPr>
      <w:tabs>
        <w:tab w:val="left" w:pos="540"/>
      </w:tabs>
      <w:spacing w:line="300" w:lineRule="auto"/>
      <w:ind w:firstLine="200" w:firstLineChars="200"/>
    </w:pPr>
    <w:rPr>
      <w:color w:val="000000"/>
      <w:sz w:val="24"/>
      <w:szCs w:val="24"/>
    </w:rPr>
  </w:style>
  <w:style w:type="character" w:customStyle="1" w:styleId="106">
    <w:name w:val="标题 4 字符"/>
    <w:link w:val="5"/>
    <w:qFormat/>
    <w:uiPriority w:val="0"/>
    <w:rPr>
      <w:rFonts w:ascii="Arial" w:hAnsi="Arial" w:eastAsia="黑体"/>
      <w:bCs/>
      <w:kern w:val="2"/>
      <w:sz w:val="24"/>
      <w:szCs w:val="28"/>
    </w:rPr>
  </w:style>
  <w:style w:type="character" w:customStyle="1" w:styleId="107">
    <w:name w:val="标题 1 字符"/>
    <w:link w:val="2"/>
    <w:qFormat/>
    <w:uiPriority w:val="0"/>
    <w:rPr>
      <w:rFonts w:ascii="黑体" w:eastAsia="黑体"/>
      <w:color w:val="000000"/>
      <w:kern w:val="2"/>
      <w:sz w:val="24"/>
      <w:szCs w:val="24"/>
    </w:rPr>
  </w:style>
  <w:style w:type="character" w:customStyle="1" w:styleId="108">
    <w:name w:val="标题 2 字符"/>
    <w:link w:val="3"/>
    <w:qFormat/>
    <w:uiPriority w:val="0"/>
    <w:rPr>
      <w:rFonts w:ascii="宋体" w:hAnsi="宋体"/>
      <w:bCs/>
      <w:sz w:val="24"/>
      <w:szCs w:val="24"/>
    </w:rPr>
  </w:style>
  <w:style w:type="character" w:customStyle="1" w:styleId="109">
    <w:name w:val="标题 3 字符"/>
    <w:link w:val="4"/>
    <w:qFormat/>
    <w:uiPriority w:val="0"/>
    <w:rPr>
      <w:b/>
      <w:bCs/>
      <w:kern w:val="2"/>
      <w:sz w:val="32"/>
      <w:szCs w:val="32"/>
    </w:rPr>
  </w:style>
  <w:style w:type="character" w:customStyle="1" w:styleId="110">
    <w:name w:val="标题 8 字符"/>
    <w:link w:val="6"/>
    <w:qFormat/>
    <w:uiPriority w:val="0"/>
    <w:rPr>
      <w:rFonts w:ascii="Arial" w:hAnsi="Arial" w:eastAsia="黑体"/>
      <w:kern w:val="2"/>
      <w:sz w:val="28"/>
      <w:szCs w:val="24"/>
    </w:rPr>
  </w:style>
  <w:style w:type="character" w:customStyle="1" w:styleId="111">
    <w:name w:val="标题 9 字符"/>
    <w:link w:val="7"/>
    <w:qFormat/>
    <w:uiPriority w:val="0"/>
    <w:rPr>
      <w:rFonts w:ascii="Arial" w:hAnsi="Arial" w:eastAsia="黑体"/>
      <w:kern w:val="2"/>
      <w:sz w:val="21"/>
      <w:szCs w:val="21"/>
    </w:rPr>
  </w:style>
  <w:style w:type="character" w:customStyle="1" w:styleId="112">
    <w:name w:val="批注主题 字符1"/>
    <w:semiHidden/>
    <w:qFormat/>
    <w:uiPriority w:val="99"/>
    <w:rPr>
      <w:b/>
      <w:bCs/>
      <w:kern w:val="2"/>
      <w:sz w:val="21"/>
    </w:rPr>
  </w:style>
  <w:style w:type="character" w:customStyle="1" w:styleId="113">
    <w:name w:val="Char1"/>
    <w:qFormat/>
    <w:uiPriority w:val="0"/>
    <w:rPr>
      <w:rFonts w:eastAsia="宋体"/>
      <w:kern w:val="2"/>
      <w:sz w:val="21"/>
      <w:lang w:val="en-US" w:eastAsia="zh-CN" w:bidi="ar-SA"/>
    </w:rPr>
  </w:style>
  <w:style w:type="character" w:customStyle="1" w:styleId="114">
    <w:name w:val="正文文本 字符1"/>
    <w:semiHidden/>
    <w:qFormat/>
    <w:uiPriority w:val="99"/>
    <w:rPr>
      <w:kern w:val="2"/>
      <w:sz w:val="21"/>
    </w:rPr>
  </w:style>
  <w:style w:type="paragraph" w:customStyle="1" w:styleId="115">
    <w:name w:val="目录 21"/>
    <w:basedOn w:val="1"/>
    <w:next w:val="1"/>
    <w:qFormat/>
    <w:uiPriority w:val="39"/>
    <w:pPr>
      <w:tabs>
        <w:tab w:val="left" w:pos="540"/>
        <w:tab w:val="right" w:leader="dot" w:pos="8302"/>
      </w:tabs>
    </w:pPr>
  </w:style>
  <w:style w:type="paragraph" w:customStyle="1" w:styleId="116">
    <w:name w:val="目录 91"/>
    <w:basedOn w:val="1"/>
    <w:next w:val="1"/>
    <w:qFormat/>
    <w:uiPriority w:val="0"/>
    <w:pPr>
      <w:ind w:left="3360" w:leftChars="1600"/>
    </w:pPr>
    <w:rPr>
      <w:szCs w:val="24"/>
    </w:rPr>
  </w:style>
  <w:style w:type="paragraph" w:customStyle="1" w:styleId="117">
    <w:name w:val="目录 51"/>
    <w:basedOn w:val="1"/>
    <w:next w:val="1"/>
    <w:qFormat/>
    <w:uiPriority w:val="0"/>
    <w:pPr>
      <w:ind w:left="1680" w:leftChars="800"/>
    </w:pPr>
    <w:rPr>
      <w:szCs w:val="24"/>
    </w:rPr>
  </w:style>
  <w:style w:type="paragraph" w:customStyle="1" w:styleId="118">
    <w:name w:val="目录 11"/>
    <w:basedOn w:val="1"/>
    <w:next w:val="1"/>
    <w:qFormat/>
    <w:uiPriority w:val="39"/>
    <w:pPr>
      <w:tabs>
        <w:tab w:val="left" w:pos="210"/>
        <w:tab w:val="right" w:leader="dot" w:pos="8302"/>
      </w:tabs>
    </w:pPr>
  </w:style>
  <w:style w:type="paragraph" w:customStyle="1" w:styleId="119">
    <w:name w:val="目录 31"/>
    <w:basedOn w:val="1"/>
    <w:next w:val="1"/>
    <w:qFormat/>
    <w:uiPriority w:val="0"/>
    <w:pPr>
      <w:ind w:left="840" w:leftChars="400"/>
    </w:pPr>
  </w:style>
  <w:style w:type="character" w:customStyle="1" w:styleId="120">
    <w:name w:val="批注框文本 字符"/>
    <w:link w:val="20"/>
    <w:qFormat/>
    <w:uiPriority w:val="0"/>
    <w:rPr>
      <w:kern w:val="2"/>
      <w:sz w:val="18"/>
      <w:szCs w:val="18"/>
    </w:rPr>
  </w:style>
  <w:style w:type="character" w:customStyle="1" w:styleId="121">
    <w:name w:val="纯文本 字符"/>
    <w:link w:val="16"/>
    <w:qFormat/>
    <w:uiPriority w:val="0"/>
    <w:rPr>
      <w:rFonts w:ascii="宋体" w:hAnsi="Courier New"/>
      <w:kern w:val="2"/>
      <w:sz w:val="21"/>
    </w:rPr>
  </w:style>
  <w:style w:type="character" w:customStyle="1" w:styleId="122">
    <w:name w:val="正文文本 2 字符"/>
    <w:link w:val="30"/>
    <w:qFormat/>
    <w:uiPriority w:val="0"/>
    <w:rPr>
      <w:rFonts w:ascii="宋体" w:hAnsi="宋体"/>
      <w:kern w:val="2"/>
      <w:sz w:val="28"/>
      <w:szCs w:val="24"/>
    </w:rPr>
  </w:style>
  <w:style w:type="character" w:customStyle="1" w:styleId="123">
    <w:name w:val="正文文本缩进 2 字符"/>
    <w:link w:val="19"/>
    <w:qFormat/>
    <w:uiPriority w:val="0"/>
    <w:rPr>
      <w:kern w:val="2"/>
      <w:sz w:val="21"/>
    </w:rPr>
  </w:style>
  <w:style w:type="paragraph" w:customStyle="1" w:styleId="124">
    <w:name w:val="目录 81"/>
    <w:basedOn w:val="1"/>
    <w:next w:val="1"/>
    <w:qFormat/>
    <w:uiPriority w:val="0"/>
    <w:pPr>
      <w:tabs>
        <w:tab w:val="right" w:leader="dot" w:pos="8302"/>
      </w:tabs>
    </w:pPr>
  </w:style>
  <w:style w:type="character" w:customStyle="1" w:styleId="125">
    <w:name w:val="页眉 字符"/>
    <w:link w:val="22"/>
    <w:qFormat/>
    <w:uiPriority w:val="0"/>
    <w:rPr>
      <w:kern w:val="2"/>
      <w:sz w:val="18"/>
    </w:rPr>
  </w:style>
  <w:style w:type="character" w:customStyle="1" w:styleId="126">
    <w:name w:val="页脚 字符"/>
    <w:link w:val="21"/>
    <w:qFormat/>
    <w:uiPriority w:val="0"/>
    <w:rPr>
      <w:kern w:val="2"/>
      <w:sz w:val="18"/>
    </w:rPr>
  </w:style>
  <w:style w:type="paragraph" w:customStyle="1" w:styleId="127">
    <w:name w:val="目录 71"/>
    <w:basedOn w:val="1"/>
    <w:next w:val="1"/>
    <w:qFormat/>
    <w:uiPriority w:val="0"/>
    <w:pPr>
      <w:ind w:left="2520" w:leftChars="1200"/>
    </w:pPr>
    <w:rPr>
      <w:szCs w:val="24"/>
    </w:rPr>
  </w:style>
  <w:style w:type="character" w:customStyle="1" w:styleId="128">
    <w:name w:val="正文文本缩进 字符"/>
    <w:link w:val="13"/>
    <w:qFormat/>
    <w:uiPriority w:val="0"/>
    <w:rPr>
      <w:kern w:val="2"/>
      <w:sz w:val="21"/>
    </w:rPr>
  </w:style>
  <w:style w:type="paragraph" w:customStyle="1" w:styleId="129">
    <w:name w:val="目录 41"/>
    <w:basedOn w:val="1"/>
    <w:next w:val="1"/>
    <w:qFormat/>
    <w:uiPriority w:val="0"/>
    <w:pPr>
      <w:ind w:left="1260" w:leftChars="600"/>
    </w:pPr>
  </w:style>
  <w:style w:type="character" w:customStyle="1" w:styleId="130">
    <w:name w:val="文档结构图 字符"/>
    <w:link w:val="10"/>
    <w:qFormat/>
    <w:uiPriority w:val="0"/>
    <w:rPr>
      <w:kern w:val="2"/>
      <w:sz w:val="21"/>
      <w:shd w:val="clear" w:color="auto" w:fill="000080"/>
    </w:rPr>
  </w:style>
  <w:style w:type="character" w:customStyle="1" w:styleId="131">
    <w:name w:val="日期 字符"/>
    <w:link w:val="18"/>
    <w:qFormat/>
    <w:uiPriority w:val="0"/>
    <w:rPr>
      <w:rFonts w:ascii="宋体" w:hAnsi="宋体"/>
      <w:kern w:val="2"/>
      <w:sz w:val="24"/>
      <w:szCs w:val="24"/>
    </w:rPr>
  </w:style>
  <w:style w:type="paragraph" w:customStyle="1" w:styleId="132">
    <w:name w:val="Char Char Char Char"/>
    <w:basedOn w:val="1"/>
    <w:qFormat/>
    <w:uiPriority w:val="0"/>
    <w:pPr>
      <w:spacing w:line="360" w:lineRule="auto"/>
    </w:pPr>
    <w:rPr>
      <w:rFonts w:ascii="Tahoma" w:hAnsi="Tahoma"/>
      <w:sz w:val="24"/>
    </w:rPr>
  </w:style>
  <w:style w:type="character" w:customStyle="1" w:styleId="133">
    <w:name w:val="正文文本缩进 3 字符"/>
    <w:link w:val="26"/>
    <w:qFormat/>
    <w:uiPriority w:val="0"/>
    <w:rPr>
      <w:kern w:val="2"/>
      <w:sz w:val="16"/>
      <w:szCs w:val="16"/>
    </w:rPr>
  </w:style>
  <w:style w:type="paragraph" w:customStyle="1" w:styleId="134">
    <w:name w:val="目录 61"/>
    <w:basedOn w:val="1"/>
    <w:next w:val="1"/>
    <w:qFormat/>
    <w:uiPriority w:val="0"/>
    <w:pPr>
      <w:ind w:left="2100" w:leftChars="1000"/>
    </w:pPr>
    <w:rPr>
      <w:szCs w:val="24"/>
    </w:rPr>
  </w:style>
  <w:style w:type="paragraph" w:customStyle="1" w:styleId="135">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styleId="136">
    <w:name w:val="Placeholder Text"/>
    <w:semiHidden/>
    <w:qFormat/>
    <w:uiPriority w:val="99"/>
    <w:rPr>
      <w:color w:val="808080"/>
    </w:rPr>
  </w:style>
  <w:style w:type="table" w:customStyle="1" w:styleId="137">
    <w:name w:val="网格型1"/>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8">
    <w:name w:val="未处理的提及1"/>
    <w:semiHidden/>
    <w:unhideWhenUsed/>
    <w:qFormat/>
    <w:uiPriority w:val="99"/>
    <w:rPr>
      <w:color w:val="605E5C"/>
      <w:shd w:val="clear" w:color="auto" w:fill="E1DFDD"/>
    </w:rPr>
  </w:style>
  <w:style w:type="paragraph" w:customStyle="1" w:styleId="139">
    <w:name w:val="TOC 标题1"/>
    <w:basedOn w:val="2"/>
    <w:next w:val="1"/>
    <w:unhideWhenUsed/>
    <w:qFormat/>
    <w:uiPriority w:val="39"/>
    <w:pPr>
      <w:keepLines/>
      <w:widowControl/>
      <w:spacing w:before="240" w:beforeLines="0" w:after="0" w:afterLines="0" w:line="259" w:lineRule="auto"/>
      <w:outlineLvl w:val="9"/>
    </w:pPr>
    <w:rPr>
      <w:rFonts w:ascii="等线 Light" w:hAnsi="等线 Light" w:eastAsia="等线 Light"/>
      <w:color w:val="2F5496"/>
      <w:kern w:val="0"/>
      <w:sz w:val="32"/>
      <w:szCs w:val="32"/>
    </w:rPr>
  </w:style>
  <w:style w:type="table" w:customStyle="1" w:styleId="140">
    <w:name w:val="网格型2"/>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
    <w:name w:val="网格型3"/>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
    <w:name w:val="网格型4"/>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
    <w:name w:val="网格型5"/>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6"/>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7"/>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
    <w:name w:val="网格型8"/>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
    <w:name w:val="网格型9"/>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8">
    <w:name w:val="目录 111"/>
    <w:basedOn w:val="1"/>
    <w:next w:val="1"/>
    <w:qFormat/>
    <w:uiPriority w:val="39"/>
    <w:pPr>
      <w:tabs>
        <w:tab w:val="left" w:pos="210"/>
        <w:tab w:val="right" w:leader="dot" w:pos="8302"/>
      </w:tabs>
    </w:pPr>
  </w:style>
  <w:style w:type="paragraph" w:customStyle="1" w:styleId="149">
    <w:name w:val="目录 811"/>
    <w:basedOn w:val="1"/>
    <w:next w:val="1"/>
    <w:qFormat/>
    <w:uiPriority w:val="39"/>
    <w:pPr>
      <w:tabs>
        <w:tab w:val="right" w:leader="dot" w:pos="8302"/>
      </w:tabs>
    </w:pPr>
  </w:style>
  <w:style w:type="paragraph" w:customStyle="1" w:styleId="150">
    <w:name w:val="目录 311"/>
    <w:basedOn w:val="1"/>
    <w:next w:val="1"/>
    <w:qFormat/>
    <w:uiPriority w:val="39"/>
    <w:pPr>
      <w:ind w:left="840" w:leftChars="400"/>
    </w:pPr>
  </w:style>
  <w:style w:type="paragraph" w:customStyle="1" w:styleId="151">
    <w:name w:val="目录 211"/>
    <w:basedOn w:val="1"/>
    <w:next w:val="1"/>
    <w:qFormat/>
    <w:uiPriority w:val="39"/>
    <w:pPr>
      <w:tabs>
        <w:tab w:val="left" w:pos="720"/>
        <w:tab w:val="right" w:leader="dot" w:pos="8302"/>
      </w:tabs>
    </w:pPr>
  </w:style>
  <w:style w:type="paragraph" w:customStyle="1" w:styleId="152">
    <w:name w:val="目录 411"/>
    <w:basedOn w:val="1"/>
    <w:next w:val="1"/>
    <w:qFormat/>
    <w:uiPriority w:val="39"/>
    <w:pPr>
      <w:ind w:left="1260" w:leftChars="600"/>
    </w:pPr>
  </w:style>
  <w:style w:type="paragraph" w:customStyle="1" w:styleId="153">
    <w:name w:val="修订11"/>
    <w:hidden/>
    <w:semiHidden/>
    <w:qFormat/>
    <w:uiPriority w:val="99"/>
    <w:rPr>
      <w:rFonts w:ascii="Times New Roman" w:hAnsi="Times New Roman" w:eastAsia="宋体" w:cs="Times New Roman"/>
      <w:kern w:val="2"/>
      <w:sz w:val="21"/>
      <w:lang w:val="en-US" w:eastAsia="zh-CN" w:bidi="ar-SA"/>
    </w:rPr>
  </w:style>
  <w:style w:type="paragraph" w:customStyle="1" w:styleId="154">
    <w:name w:val="注："/>
    <w:next w:val="50"/>
    <w:qFormat/>
    <w:uiPriority w:val="0"/>
    <w:pPr>
      <w:widowControl w:val="0"/>
      <w:autoSpaceDE w:val="0"/>
      <w:autoSpaceDN w:val="0"/>
      <w:ind w:left="789" w:hanging="363"/>
      <w:jc w:val="both"/>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44.wmf"/><Relationship Id="rId98" Type="http://schemas.openxmlformats.org/officeDocument/2006/relationships/oleObject" Target="embeddings/oleObject42.bin"/><Relationship Id="rId97" Type="http://schemas.openxmlformats.org/officeDocument/2006/relationships/image" Target="media/image43.wmf"/><Relationship Id="rId96" Type="http://schemas.openxmlformats.org/officeDocument/2006/relationships/oleObject" Target="embeddings/oleObject41.bin"/><Relationship Id="rId95" Type="http://schemas.openxmlformats.org/officeDocument/2006/relationships/image" Target="media/image42.wmf"/><Relationship Id="rId94" Type="http://schemas.openxmlformats.org/officeDocument/2006/relationships/oleObject" Target="embeddings/oleObject40.bin"/><Relationship Id="rId93" Type="http://schemas.openxmlformats.org/officeDocument/2006/relationships/image" Target="media/image41.wmf"/><Relationship Id="rId92" Type="http://schemas.openxmlformats.org/officeDocument/2006/relationships/oleObject" Target="embeddings/oleObject39.bin"/><Relationship Id="rId91" Type="http://schemas.openxmlformats.org/officeDocument/2006/relationships/image" Target="media/image40.wmf"/><Relationship Id="rId90" Type="http://schemas.openxmlformats.org/officeDocument/2006/relationships/oleObject" Target="embeddings/oleObject38.bin"/><Relationship Id="rId9" Type="http://schemas.openxmlformats.org/officeDocument/2006/relationships/theme" Target="theme/theme1.xml"/><Relationship Id="rId89" Type="http://schemas.openxmlformats.org/officeDocument/2006/relationships/oleObject" Target="embeddings/oleObject37.bin"/><Relationship Id="rId88" Type="http://schemas.openxmlformats.org/officeDocument/2006/relationships/oleObject" Target="embeddings/oleObject36.bin"/><Relationship Id="rId87" Type="http://schemas.openxmlformats.org/officeDocument/2006/relationships/oleObject" Target="embeddings/oleObject35.bin"/><Relationship Id="rId86" Type="http://schemas.openxmlformats.org/officeDocument/2006/relationships/oleObject" Target="embeddings/oleObject34.bin"/><Relationship Id="rId85" Type="http://schemas.openxmlformats.org/officeDocument/2006/relationships/image" Target="media/image39.wmf"/><Relationship Id="rId84" Type="http://schemas.openxmlformats.org/officeDocument/2006/relationships/oleObject" Target="embeddings/oleObject33.bin"/><Relationship Id="rId83" Type="http://schemas.openxmlformats.org/officeDocument/2006/relationships/image" Target="media/image38.wmf"/><Relationship Id="rId82" Type="http://schemas.openxmlformats.org/officeDocument/2006/relationships/oleObject" Target="embeddings/oleObject32.bin"/><Relationship Id="rId81" Type="http://schemas.openxmlformats.org/officeDocument/2006/relationships/image" Target="media/image37.wmf"/><Relationship Id="rId80" Type="http://schemas.openxmlformats.org/officeDocument/2006/relationships/oleObject" Target="embeddings/oleObject31.bin"/><Relationship Id="rId8" Type="http://schemas.openxmlformats.org/officeDocument/2006/relationships/footer" Target="footer3.xml"/><Relationship Id="rId79" Type="http://schemas.openxmlformats.org/officeDocument/2006/relationships/oleObject" Target="embeddings/oleObject30.bin"/><Relationship Id="rId78" Type="http://schemas.openxmlformats.org/officeDocument/2006/relationships/image" Target="media/image36.wmf"/><Relationship Id="rId77" Type="http://schemas.openxmlformats.org/officeDocument/2006/relationships/oleObject" Target="embeddings/oleObject29.bin"/><Relationship Id="rId76" Type="http://schemas.openxmlformats.org/officeDocument/2006/relationships/image" Target="media/image35.wmf"/><Relationship Id="rId75" Type="http://schemas.openxmlformats.org/officeDocument/2006/relationships/oleObject" Target="embeddings/oleObject28.bin"/><Relationship Id="rId74" Type="http://schemas.openxmlformats.org/officeDocument/2006/relationships/image" Target="media/image34.wmf"/><Relationship Id="rId73" Type="http://schemas.openxmlformats.org/officeDocument/2006/relationships/oleObject" Target="embeddings/oleObject27.bin"/><Relationship Id="rId72" Type="http://schemas.openxmlformats.org/officeDocument/2006/relationships/image" Target="media/image33.wmf"/><Relationship Id="rId71" Type="http://schemas.openxmlformats.org/officeDocument/2006/relationships/oleObject" Target="embeddings/oleObject26.bin"/><Relationship Id="rId70" Type="http://schemas.openxmlformats.org/officeDocument/2006/relationships/image" Target="media/image32.wmf"/><Relationship Id="rId7" Type="http://schemas.openxmlformats.org/officeDocument/2006/relationships/footer" Target="footer2.xml"/><Relationship Id="rId69" Type="http://schemas.openxmlformats.org/officeDocument/2006/relationships/oleObject" Target="embeddings/oleObject25.bin"/><Relationship Id="rId68" Type="http://schemas.openxmlformats.org/officeDocument/2006/relationships/image" Target="media/image31.wmf"/><Relationship Id="rId67" Type="http://schemas.openxmlformats.org/officeDocument/2006/relationships/oleObject" Target="embeddings/oleObject24.bin"/><Relationship Id="rId66" Type="http://schemas.openxmlformats.org/officeDocument/2006/relationships/image" Target="media/image30.wmf"/><Relationship Id="rId65" Type="http://schemas.openxmlformats.org/officeDocument/2006/relationships/oleObject" Target="embeddings/oleObject23.bin"/><Relationship Id="rId64" Type="http://schemas.openxmlformats.org/officeDocument/2006/relationships/image" Target="media/image29.wmf"/><Relationship Id="rId63" Type="http://schemas.openxmlformats.org/officeDocument/2006/relationships/oleObject" Target="embeddings/oleObject22.bin"/><Relationship Id="rId62" Type="http://schemas.openxmlformats.org/officeDocument/2006/relationships/image" Target="media/image28.wmf"/><Relationship Id="rId61" Type="http://schemas.openxmlformats.org/officeDocument/2006/relationships/oleObject" Target="embeddings/oleObject21.bin"/><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0.bin"/><Relationship Id="rId58" Type="http://schemas.openxmlformats.org/officeDocument/2006/relationships/image" Target="media/image26.wmf"/><Relationship Id="rId57" Type="http://schemas.openxmlformats.org/officeDocument/2006/relationships/oleObject" Target="embeddings/oleObject19.bin"/><Relationship Id="rId56" Type="http://schemas.openxmlformats.org/officeDocument/2006/relationships/image" Target="media/image25.wmf"/><Relationship Id="rId55" Type="http://schemas.openxmlformats.org/officeDocument/2006/relationships/oleObject" Target="embeddings/oleObject18.bin"/><Relationship Id="rId54" Type="http://schemas.openxmlformats.org/officeDocument/2006/relationships/image" Target="media/image24.wmf"/><Relationship Id="rId53" Type="http://schemas.openxmlformats.org/officeDocument/2006/relationships/oleObject" Target="embeddings/oleObject17.bin"/><Relationship Id="rId52" Type="http://schemas.openxmlformats.org/officeDocument/2006/relationships/image" Target="media/image23.wmf"/><Relationship Id="rId51" Type="http://schemas.openxmlformats.org/officeDocument/2006/relationships/oleObject" Target="embeddings/oleObject16.bin"/><Relationship Id="rId50" Type="http://schemas.openxmlformats.org/officeDocument/2006/relationships/image" Target="media/image22.wmf"/><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image" Target="media/image21.wmf"/><Relationship Id="rId47" Type="http://schemas.openxmlformats.org/officeDocument/2006/relationships/oleObject" Target="embeddings/oleObject14.bin"/><Relationship Id="rId46" Type="http://schemas.openxmlformats.org/officeDocument/2006/relationships/image" Target="media/image20.wmf"/><Relationship Id="rId45" Type="http://schemas.openxmlformats.org/officeDocument/2006/relationships/oleObject" Target="embeddings/oleObject13.bin"/><Relationship Id="rId44" Type="http://schemas.openxmlformats.org/officeDocument/2006/relationships/image" Target="media/image19.wmf"/><Relationship Id="rId43" Type="http://schemas.openxmlformats.org/officeDocument/2006/relationships/oleObject" Target="embeddings/oleObject12.bin"/><Relationship Id="rId42" Type="http://schemas.openxmlformats.org/officeDocument/2006/relationships/image" Target="media/image18.wmf"/><Relationship Id="rId41" Type="http://schemas.openxmlformats.org/officeDocument/2006/relationships/oleObject" Target="embeddings/oleObject11.bin"/><Relationship Id="rId40" Type="http://schemas.openxmlformats.org/officeDocument/2006/relationships/image" Target="media/image17.png"/><Relationship Id="rId4" Type="http://schemas.openxmlformats.org/officeDocument/2006/relationships/header" Target="header2.xml"/><Relationship Id="rId39" Type="http://schemas.openxmlformats.org/officeDocument/2006/relationships/image" Target="media/image16.wmf"/><Relationship Id="rId38" Type="http://schemas.openxmlformats.org/officeDocument/2006/relationships/oleObject" Target="embeddings/oleObject10.bin"/><Relationship Id="rId37" Type="http://schemas.openxmlformats.org/officeDocument/2006/relationships/image" Target="media/image15.png"/><Relationship Id="rId36" Type="http://schemas.openxmlformats.org/officeDocument/2006/relationships/image" Target="media/image14.png"/><Relationship Id="rId35" Type="http://schemas.openxmlformats.org/officeDocument/2006/relationships/image" Target="media/image13.wmf"/><Relationship Id="rId34" Type="http://schemas.openxmlformats.org/officeDocument/2006/relationships/oleObject" Target="embeddings/oleObject9.bin"/><Relationship Id="rId33" Type="http://schemas.openxmlformats.org/officeDocument/2006/relationships/image" Target="media/image12.wmf"/><Relationship Id="rId32" Type="http://schemas.openxmlformats.org/officeDocument/2006/relationships/oleObject" Target="embeddings/oleObject8.bin"/><Relationship Id="rId31" Type="http://schemas.openxmlformats.org/officeDocument/2006/relationships/image" Target="media/image11.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0.wmf"/><Relationship Id="rId28" Type="http://schemas.openxmlformats.org/officeDocument/2006/relationships/oleObject" Target="embeddings/oleObject6.bin"/><Relationship Id="rId27" Type="http://schemas.openxmlformats.org/officeDocument/2006/relationships/image" Target="media/image9.wmf"/><Relationship Id="rId26" Type="http://schemas.openxmlformats.org/officeDocument/2006/relationships/oleObject" Target="embeddings/oleObject5.bin"/><Relationship Id="rId25" Type="http://schemas.openxmlformats.org/officeDocument/2006/relationships/image" Target="media/image8.wmf"/><Relationship Id="rId24" Type="http://schemas.openxmlformats.org/officeDocument/2006/relationships/oleObject" Target="embeddings/oleObject4.bin"/><Relationship Id="rId23" Type="http://schemas.openxmlformats.org/officeDocument/2006/relationships/image" Target="media/image7.wmf"/><Relationship Id="rId22" Type="http://schemas.openxmlformats.org/officeDocument/2006/relationships/oleObject" Target="embeddings/oleObject3.bin"/><Relationship Id="rId21" Type="http://schemas.openxmlformats.org/officeDocument/2006/relationships/image" Target="media/image6.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1.bin"/><Relationship Id="rId17" Type="http://schemas.openxmlformats.org/officeDocument/2006/relationships/image" Target="media/image4.emf"/><Relationship Id="rId16" Type="http://schemas.openxmlformats.org/officeDocument/2006/relationships/package" Target="embeddings/Microsoft_Visio___4.vsdx"/><Relationship Id="rId15" Type="http://schemas.openxmlformats.org/officeDocument/2006/relationships/image" Target="media/image3.emf"/><Relationship Id="rId143" Type="http://schemas.openxmlformats.org/officeDocument/2006/relationships/fontTable" Target="fontTable.xml"/><Relationship Id="rId142" Type="http://schemas.openxmlformats.org/officeDocument/2006/relationships/customXml" Target="../customXml/item2.xml"/><Relationship Id="rId141" Type="http://schemas.openxmlformats.org/officeDocument/2006/relationships/numbering" Target="numbering.xml"/><Relationship Id="rId140" Type="http://schemas.openxmlformats.org/officeDocument/2006/relationships/customXml" Target="../customXml/item1.xml"/><Relationship Id="rId14" Type="http://schemas.openxmlformats.org/officeDocument/2006/relationships/package" Target="embeddings/Microsoft_Visio___3.vsdx"/><Relationship Id="rId139" Type="http://schemas.openxmlformats.org/officeDocument/2006/relationships/image" Target="media/image65.emf"/><Relationship Id="rId138" Type="http://schemas.openxmlformats.org/officeDocument/2006/relationships/oleObject" Target="embeddings/Microsoft_Visio_2003-2010___7.vsd"/><Relationship Id="rId137" Type="http://schemas.openxmlformats.org/officeDocument/2006/relationships/image" Target="media/image64.emf"/><Relationship Id="rId136" Type="http://schemas.openxmlformats.org/officeDocument/2006/relationships/oleObject" Target="embeddings/Microsoft_Visio_2003-2010___6.vsd"/><Relationship Id="rId135" Type="http://schemas.openxmlformats.org/officeDocument/2006/relationships/image" Target="media/image63.emf"/><Relationship Id="rId134" Type="http://schemas.openxmlformats.org/officeDocument/2006/relationships/oleObject" Target="embeddings/Microsoft_Visio_2003-2010___5.vsd"/><Relationship Id="rId133" Type="http://schemas.openxmlformats.org/officeDocument/2006/relationships/image" Target="media/image62.wmf"/><Relationship Id="rId132" Type="http://schemas.openxmlformats.org/officeDocument/2006/relationships/oleObject" Target="embeddings/oleObject58.bin"/><Relationship Id="rId131" Type="http://schemas.openxmlformats.org/officeDocument/2006/relationships/image" Target="media/image61.png"/><Relationship Id="rId130" Type="http://schemas.openxmlformats.org/officeDocument/2006/relationships/image" Target="media/image60.wmf"/><Relationship Id="rId13" Type="http://schemas.openxmlformats.org/officeDocument/2006/relationships/image" Target="media/image2.emf"/><Relationship Id="rId129" Type="http://schemas.openxmlformats.org/officeDocument/2006/relationships/image" Target="media/image59.wmf"/><Relationship Id="rId128" Type="http://schemas.openxmlformats.org/officeDocument/2006/relationships/oleObject" Target="embeddings/oleObject57.bin"/><Relationship Id="rId127" Type="http://schemas.openxmlformats.org/officeDocument/2006/relationships/image" Target="media/image58.wmf"/><Relationship Id="rId126" Type="http://schemas.openxmlformats.org/officeDocument/2006/relationships/oleObject" Target="embeddings/oleObject56.bin"/><Relationship Id="rId125" Type="http://schemas.openxmlformats.org/officeDocument/2006/relationships/image" Target="media/image57.wmf"/><Relationship Id="rId124" Type="http://schemas.openxmlformats.org/officeDocument/2006/relationships/oleObject" Target="embeddings/oleObject55.bin"/><Relationship Id="rId123" Type="http://schemas.openxmlformats.org/officeDocument/2006/relationships/image" Target="media/image56.wmf"/><Relationship Id="rId122" Type="http://schemas.openxmlformats.org/officeDocument/2006/relationships/oleObject" Target="embeddings/oleObject54.bin"/><Relationship Id="rId121" Type="http://schemas.openxmlformats.org/officeDocument/2006/relationships/image" Target="media/image55.wmf"/><Relationship Id="rId120" Type="http://schemas.openxmlformats.org/officeDocument/2006/relationships/oleObject" Target="embeddings/oleObject53.bin"/><Relationship Id="rId12" Type="http://schemas.openxmlformats.org/officeDocument/2006/relationships/oleObject" Target="embeddings/Microsoft_Visio_2003-2010___2.vsd"/><Relationship Id="rId119" Type="http://schemas.openxmlformats.org/officeDocument/2006/relationships/image" Target="media/image54.wmf"/><Relationship Id="rId118" Type="http://schemas.openxmlformats.org/officeDocument/2006/relationships/oleObject" Target="embeddings/oleObject52.bin"/><Relationship Id="rId117" Type="http://schemas.openxmlformats.org/officeDocument/2006/relationships/image" Target="media/image53.wmf"/><Relationship Id="rId116" Type="http://schemas.openxmlformats.org/officeDocument/2006/relationships/oleObject" Target="embeddings/oleObject51.bin"/><Relationship Id="rId115" Type="http://schemas.openxmlformats.org/officeDocument/2006/relationships/image" Target="media/image52.wmf"/><Relationship Id="rId114" Type="http://schemas.openxmlformats.org/officeDocument/2006/relationships/oleObject" Target="embeddings/oleObject50.bin"/><Relationship Id="rId113" Type="http://schemas.openxmlformats.org/officeDocument/2006/relationships/image" Target="media/image51.wmf"/><Relationship Id="rId112" Type="http://schemas.openxmlformats.org/officeDocument/2006/relationships/oleObject" Target="embeddings/oleObject49.bin"/><Relationship Id="rId111" Type="http://schemas.openxmlformats.org/officeDocument/2006/relationships/image" Target="media/image50.wmf"/><Relationship Id="rId110" Type="http://schemas.openxmlformats.org/officeDocument/2006/relationships/oleObject" Target="embeddings/oleObject48.bin"/><Relationship Id="rId11" Type="http://schemas.openxmlformats.org/officeDocument/2006/relationships/image" Target="media/image1.emf"/><Relationship Id="rId109" Type="http://schemas.openxmlformats.org/officeDocument/2006/relationships/image" Target="media/image49.wmf"/><Relationship Id="rId108" Type="http://schemas.openxmlformats.org/officeDocument/2006/relationships/oleObject" Target="embeddings/oleObject47.bin"/><Relationship Id="rId107" Type="http://schemas.openxmlformats.org/officeDocument/2006/relationships/image" Target="media/image48.wmf"/><Relationship Id="rId106" Type="http://schemas.openxmlformats.org/officeDocument/2006/relationships/oleObject" Target="embeddings/oleObject46.bin"/><Relationship Id="rId105" Type="http://schemas.openxmlformats.org/officeDocument/2006/relationships/image" Target="media/image47.wmf"/><Relationship Id="rId104" Type="http://schemas.openxmlformats.org/officeDocument/2006/relationships/oleObject" Target="embeddings/oleObject45.bin"/><Relationship Id="rId103" Type="http://schemas.openxmlformats.org/officeDocument/2006/relationships/image" Target="media/image46.wmf"/><Relationship Id="rId102" Type="http://schemas.openxmlformats.org/officeDocument/2006/relationships/oleObject" Target="embeddings/oleObject44.bin"/><Relationship Id="rId101" Type="http://schemas.openxmlformats.org/officeDocument/2006/relationships/image" Target="media/image45.wmf"/><Relationship Id="rId100" Type="http://schemas.openxmlformats.org/officeDocument/2006/relationships/oleObject" Target="embeddings/oleObject43.bin"/><Relationship Id="rId10" Type="http://schemas.openxmlformats.org/officeDocument/2006/relationships/oleObject" Target="embeddings/Microsoft_Visio_2003-2010___1.vsd"/><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A04B10-5632-4CE7-B8EB-FE93B75FC1AA}">
  <ds:schemaRefs/>
</ds:datastoreItem>
</file>

<file path=docProps/app.xml><?xml version="1.0" encoding="utf-8"?>
<Properties xmlns="http://schemas.openxmlformats.org/officeDocument/2006/extended-properties" xmlns:vt="http://schemas.openxmlformats.org/officeDocument/2006/docPropsVTypes">
  <Template>Normal.dotm</Template>
  <Company>NIM</Company>
  <Pages>36</Pages>
  <Words>11032</Words>
  <Characters>12903</Characters>
  <Lines>137</Lines>
  <Paragraphs>38</Paragraphs>
  <TotalTime>3838</TotalTime>
  <ScaleCrop>false</ScaleCrop>
  <LinksUpToDate>false</LinksUpToDate>
  <CharactersWithSpaces>14151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2025-06-28T13:36:00Z</dcterms:created>
  <dc:creator>CAI</dc:creator>
  <dc:description>按照修改意见，规程已修改好，现发给你请查收。 </dc:description>
  <cp:lastModifiedBy>黄未</cp:lastModifiedBy>
  <cp:lastPrinted>2016-12-01T08:05:00Z</cp:lastPrinted>
  <dcterms:modified xsi:type="dcterms:W3CDTF">2026-07-22T09:28:20Z</dcterms:modified>
  <dc:title>JJG</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eyJoZGlkIjoiNDRiZWQ5NzlkMjE3Nzk2ODY5Mjk4OTE1NGIyMGUwZTIiLCJ1c2VySWQiOiIxMTUwNjMxMDcwIn0=</vt:lpwstr>
  </property>
  <property fmtid="{D5CDD505-2E9C-101B-9397-08002B2CF9AE}" pid="3" name="KSOProductBuildVer">
    <vt:lpwstr>2052-12.1.0.26895</vt:lpwstr>
  </property>
  <property fmtid="{D5CDD505-2E9C-101B-9397-08002B2CF9AE}" pid="4" name="ICV">
    <vt:lpwstr>A1571C7E30F34BEB9DF7E4611973BB8B_12</vt:lpwstr>
  </property>
</Properties>
</file>